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3747A" w14:textId="68024F49" w:rsidR="006236C8" w:rsidRDefault="006236C8" w:rsidP="00231C62"/>
    <w:p w14:paraId="02073A27" w14:textId="68D6316C" w:rsidR="00297396" w:rsidRPr="00807E7B" w:rsidRDefault="00807E7B" w:rsidP="00231C62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20F876A" wp14:editId="6438A32F">
            <wp:simplePos x="0" y="0"/>
            <wp:positionH relativeFrom="column">
              <wp:posOffset>3768725</wp:posOffset>
            </wp:positionH>
            <wp:positionV relativeFrom="paragraph">
              <wp:posOffset>3175</wp:posOffset>
            </wp:positionV>
            <wp:extent cx="828675" cy="745490"/>
            <wp:effectExtent l="0" t="0" r="9525" b="0"/>
            <wp:wrapSquare wrapText="bothSides"/>
            <wp:docPr id="7" name="Obrázok 7" descr="logoM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MZPpp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2C6ABFC8" wp14:editId="164C28AF">
            <wp:extent cx="1276350" cy="847725"/>
            <wp:effectExtent l="0" t="0" r="0" b="9525"/>
            <wp:docPr id="6" name="Obrázo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297396" w:rsidRPr="006479DF">
        <w:rPr>
          <w:noProof/>
          <w:sz w:val="20"/>
          <w:szCs w:val="20"/>
          <w:lang w:val="en-US"/>
        </w:rPr>
        <w:drawing>
          <wp:anchor distT="0" distB="0" distL="114300" distR="114300" simplePos="0" relativeHeight="251661312" behindDoc="0" locked="1" layoutInCell="1" allowOverlap="1" wp14:anchorId="24B3E311" wp14:editId="07D09AFB">
            <wp:simplePos x="0" y="0"/>
            <wp:positionH relativeFrom="character">
              <wp:posOffset>4922520</wp:posOffset>
            </wp:positionH>
            <wp:positionV relativeFrom="line">
              <wp:posOffset>-94615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4E9433" w14:textId="77777777" w:rsidR="00B4260D" w:rsidRPr="00CF582D" w:rsidRDefault="009A3508" w:rsidP="00CF58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Ministerstvo životného prostredia </w:t>
      </w:r>
      <w:r w:rsidR="00D962C0">
        <w:rPr>
          <w:rFonts w:cs="Times New Roman"/>
          <w:sz w:val="28"/>
          <w:szCs w:val="28"/>
        </w:rPr>
        <w:t>–</w:t>
      </w:r>
      <w:r>
        <w:rPr>
          <w:sz w:val="28"/>
          <w:szCs w:val="28"/>
        </w:rPr>
        <w:t xml:space="preserve"> Riadiaci orgán pre OP Kvalita životného prostredia</w:t>
      </w:r>
    </w:p>
    <w:p w14:paraId="639864E9" w14:textId="77777777" w:rsidR="00B4260D" w:rsidRDefault="00CF582D" w:rsidP="00CF582D">
      <w:pPr>
        <w:jc w:val="center"/>
      </w:pPr>
      <w:r>
        <w:rPr>
          <w:noProof/>
          <w:lang w:val="en-US"/>
        </w:rPr>
        <w:drawing>
          <wp:inline distT="0" distB="0" distL="0" distR="0" wp14:anchorId="33870C2E" wp14:editId="5EEB1959">
            <wp:extent cx="2023745" cy="367030"/>
            <wp:effectExtent l="0" t="0" r="0" b="0"/>
            <wp:docPr id="11" name="Obrázok 11" descr="logoOPKZPpp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OPKZPpp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41D34" w14:textId="6B5FE132" w:rsidR="00297396" w:rsidRPr="00CF582D" w:rsidRDefault="001F0CE1" w:rsidP="00CF582D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297396" w:rsidRPr="00231C62">
        <w:rPr>
          <w:b/>
          <w:sz w:val="32"/>
          <w:szCs w:val="32"/>
        </w:rPr>
        <w:t>ámer</w:t>
      </w:r>
      <w:r w:rsidR="009A3508">
        <w:rPr>
          <w:b/>
          <w:sz w:val="32"/>
          <w:szCs w:val="32"/>
        </w:rPr>
        <w:t xml:space="preserve"> národného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613E52C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3C13692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6576159" w14:textId="77777777" w:rsidR="00231C62" w:rsidRPr="00A90A88" w:rsidRDefault="00221988" w:rsidP="00D962C0">
            <w:r>
              <w:t>Kvalita životného prostredia</w:t>
            </w:r>
          </w:p>
        </w:tc>
      </w:tr>
      <w:tr w:rsidR="00BB3261" w:rsidRPr="00A90A88" w14:paraId="04057617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2EFB302E" w14:textId="77777777" w:rsidR="00BB3261" w:rsidRPr="00231C62" w:rsidRDefault="00BB3261" w:rsidP="00B4260D">
            <w:pPr>
              <w:rPr>
                <w:b/>
              </w:rPr>
            </w:pPr>
            <w:r>
              <w:rPr>
                <w:b/>
              </w:rPr>
              <w:t>Prioritná os:</w:t>
            </w:r>
          </w:p>
        </w:tc>
        <w:tc>
          <w:tcPr>
            <w:tcW w:w="4433" w:type="dxa"/>
          </w:tcPr>
          <w:p w14:paraId="757426E8" w14:textId="47AB2204" w:rsidR="00BB3261" w:rsidRPr="00BB3261" w:rsidRDefault="00BB3261" w:rsidP="00091064">
            <w:pPr>
              <w:rPr>
                <w:bCs/>
              </w:rPr>
            </w:pPr>
            <w:r>
              <w:rPr>
                <w:bCs/>
              </w:rPr>
              <w:t>4</w:t>
            </w:r>
            <w:r w:rsidR="00091064">
              <w:rPr>
                <w:bCs/>
              </w:rPr>
              <w:t>.</w:t>
            </w:r>
            <w:r>
              <w:rPr>
                <w:bCs/>
              </w:rPr>
              <w:t xml:space="preserve"> Energeticky efektívne nízkouhlíkové hospodárstvo vo všetkých sektoroch</w:t>
            </w:r>
          </w:p>
        </w:tc>
      </w:tr>
      <w:tr w:rsidR="00BB3261" w:rsidRPr="00A90A88" w14:paraId="6EF33B2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09001BB" w14:textId="77777777" w:rsidR="00BB3261" w:rsidRDefault="00BB3261" w:rsidP="00B4260D">
            <w:pPr>
              <w:rPr>
                <w:b/>
              </w:rPr>
            </w:pPr>
            <w:r>
              <w:rPr>
                <w:b/>
              </w:rPr>
              <w:t>Špecifický cieľ:</w:t>
            </w:r>
          </w:p>
        </w:tc>
        <w:tc>
          <w:tcPr>
            <w:tcW w:w="4433" w:type="dxa"/>
          </w:tcPr>
          <w:p w14:paraId="0F9F57AD" w14:textId="6834370C" w:rsidR="00BB3261" w:rsidRDefault="00091064" w:rsidP="00377856">
            <w:r>
              <w:rPr>
                <w:bCs/>
              </w:rPr>
              <w:t xml:space="preserve">4.4.1 </w:t>
            </w:r>
            <w:r w:rsidR="00BB3261" w:rsidRPr="000C1406">
              <w:rPr>
                <w:bCs/>
              </w:rPr>
              <w:t>Zvyšovanie počtu miestnych plánov a opatrení súvisiacich s nízkouhlíkovou stratégiou pre všetky typy území</w:t>
            </w:r>
          </w:p>
        </w:tc>
      </w:tr>
      <w:tr w:rsidR="00231C62" w:rsidRPr="00A90A88" w14:paraId="4A169BD1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31F11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AFA9444" w14:textId="77777777" w:rsidR="00231C62" w:rsidRPr="00A90A88" w:rsidRDefault="007D1BCF" w:rsidP="0099018A">
            <w:r>
              <w:t>S</w:t>
            </w:r>
            <w:r w:rsidR="0099018A">
              <w:t>lovenská inovačná a energetická agentúra</w:t>
            </w:r>
          </w:p>
        </w:tc>
      </w:tr>
      <w:tr w:rsidR="00FD6ABB" w:rsidRPr="00A90A88" w14:paraId="21BCC3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06473B8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8B84F09" w14:textId="77777777" w:rsidR="00FD6ABB" w:rsidRPr="0003068C" w:rsidRDefault="00CA6D75" w:rsidP="00CA6D75">
            <w:pPr>
              <w:rPr>
                <w:b/>
              </w:rPr>
            </w:pPr>
            <w:r w:rsidRPr="0003068C">
              <w:rPr>
                <w:b/>
                <w:bCs/>
                <w:szCs w:val="20"/>
                <w:lang w:eastAsia="x-none"/>
              </w:rPr>
              <w:t>Rozšírenie monitorovania energetickej efektívnosti</w:t>
            </w:r>
          </w:p>
        </w:tc>
      </w:tr>
      <w:tr w:rsidR="00231C62" w:rsidRPr="00A90A88" w14:paraId="0434FB4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1934E5E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6B325007" w14:textId="7975DA33" w:rsidR="00231C62" w:rsidRPr="006937CF" w:rsidRDefault="006937CF" w:rsidP="00221988">
            <w:r w:rsidRPr="006937CF">
              <w:rPr>
                <w:bCs/>
                <w:szCs w:val="24"/>
              </w:rPr>
              <w:t xml:space="preserve">5 032 179 </w:t>
            </w:r>
            <w:r w:rsidR="00F45CBB" w:rsidRPr="006937CF">
              <w:t>EUR</w:t>
            </w:r>
          </w:p>
        </w:tc>
      </w:tr>
      <w:tr w:rsidR="00FD6ABB" w:rsidRPr="00A90A88" w14:paraId="4CD8F8D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7F97B6D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7A4F3CB6" w14:textId="752C4A45" w:rsidR="00FD6ABB" w:rsidRPr="006937CF" w:rsidRDefault="006937CF" w:rsidP="00221988">
            <w:r w:rsidRPr="006937CF">
              <w:rPr>
                <w:bCs/>
                <w:szCs w:val="24"/>
              </w:rPr>
              <w:t xml:space="preserve">5 032 179 </w:t>
            </w:r>
            <w:r w:rsidR="00F45CBB" w:rsidRPr="006937CF">
              <w:t>EUR</w:t>
            </w:r>
          </w:p>
        </w:tc>
      </w:tr>
    </w:tbl>
    <w:p w14:paraId="3ACF5182" w14:textId="77777777" w:rsidR="00DE377F" w:rsidRDefault="00DE377F" w:rsidP="00654216">
      <w:pPr>
        <w:spacing w:after="18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6B3C8C26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3E76B64D" w14:textId="77777777" w:rsidR="00DE377F" w:rsidRPr="00DE377F" w:rsidRDefault="00DE377F" w:rsidP="00221988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1. Identifikácia </w:t>
            </w:r>
            <w:r w:rsidR="009A3508">
              <w:rPr>
                <w:b/>
                <w:bCs/>
              </w:rPr>
              <w:t>prijímateľa</w:t>
            </w:r>
          </w:p>
        </w:tc>
      </w:tr>
      <w:tr w:rsidR="00DE377F" w:rsidRPr="00DE377F" w14:paraId="10521E1A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CD98864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  <w:r w:rsidR="00EA1D6B">
              <w:t>Slovenská inovačná a energetická agentúra</w:t>
            </w:r>
          </w:p>
        </w:tc>
      </w:tr>
      <w:tr w:rsidR="00DE377F" w:rsidRPr="00DE377F" w14:paraId="39A9126F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395980A5" w14:textId="77777777" w:rsidR="00DE377F" w:rsidRPr="00DE377F" w:rsidRDefault="00DE377F" w:rsidP="00A35DA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="00A35DA0" w:rsidRPr="0016749B">
              <w:t>Bajkalská 27, 827 99</w:t>
            </w:r>
            <w:r w:rsidR="00A35DA0">
              <w:t xml:space="preserve"> Bratislava</w:t>
            </w:r>
          </w:p>
        </w:tc>
      </w:tr>
      <w:tr w:rsidR="00AE353F" w:rsidRPr="00DE377F" w14:paraId="58744ADF" w14:textId="77777777" w:rsidTr="00DE377F">
        <w:trPr>
          <w:trHeight w:val="330"/>
        </w:trPr>
        <w:tc>
          <w:tcPr>
            <w:tcW w:w="9288" w:type="dxa"/>
            <w:gridSpan w:val="4"/>
          </w:tcPr>
          <w:p w14:paraId="2634F3A8" w14:textId="77777777" w:rsidR="00AE353F" w:rsidRPr="00DE377F" w:rsidRDefault="00AE353F" w:rsidP="00221988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  <w:r w:rsidR="00EA1D6B" w:rsidRPr="00EA1D6B">
              <w:rPr>
                <w:bCs/>
                <w:szCs w:val="24"/>
              </w:rPr>
              <w:t>Slovensk</w:t>
            </w:r>
            <w:r w:rsidR="00221988">
              <w:rPr>
                <w:bCs/>
                <w:szCs w:val="24"/>
              </w:rPr>
              <w:t>á republika</w:t>
            </w:r>
          </w:p>
        </w:tc>
      </w:tr>
      <w:tr w:rsidR="00DE377F" w:rsidRPr="00DE377F" w14:paraId="6003C85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0693ADC" w14:textId="77777777" w:rsidR="00DE377F" w:rsidRPr="00DE377F" w:rsidRDefault="00DE377F" w:rsidP="00FF399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  <w:r w:rsidR="00EA1D6B">
              <w:rPr>
                <w:b/>
                <w:bCs/>
              </w:rPr>
              <w:t xml:space="preserve"> </w:t>
            </w:r>
            <w:r w:rsidR="00512D39" w:rsidRPr="0003068C">
              <w:rPr>
                <w:bCs/>
              </w:rPr>
              <w:t>00002801</w:t>
            </w:r>
          </w:p>
        </w:tc>
      </w:tr>
      <w:tr w:rsidR="00DE377F" w:rsidRPr="00DE377F" w14:paraId="2CDB0262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C2970DA" w14:textId="77777777" w:rsidR="00DE377F" w:rsidRPr="00DE377F" w:rsidRDefault="00DE377F" w:rsidP="00FF399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  <w:r w:rsidR="00512D39">
              <w:rPr>
                <w:b/>
                <w:bCs/>
              </w:rPr>
              <w:t xml:space="preserve"> </w:t>
            </w:r>
            <w:r w:rsidR="00512D39" w:rsidRPr="0003068C">
              <w:rPr>
                <w:bCs/>
              </w:rPr>
              <w:t>2020877749</w:t>
            </w:r>
          </w:p>
        </w:tc>
      </w:tr>
      <w:tr w:rsidR="00DE377F" w:rsidRPr="00DE377F" w14:paraId="70E037D9" w14:textId="77777777" w:rsidTr="00822304">
        <w:trPr>
          <w:trHeight w:val="446"/>
        </w:trPr>
        <w:tc>
          <w:tcPr>
            <w:tcW w:w="9288" w:type="dxa"/>
            <w:gridSpan w:val="4"/>
            <w:hideMark/>
          </w:tcPr>
          <w:p w14:paraId="68F7435D" w14:textId="77777777" w:rsidR="00DE377F" w:rsidRPr="00DE377F" w:rsidRDefault="00DE377F" w:rsidP="0022198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>identifikačné číslo zamestnávateľa pridelené Sociálnou poisťovňou (v prípade, ak je žiadateľ registrovaný ako zamestnávateľ na účely sociálneho poistenia)</w:t>
            </w:r>
          </w:p>
        </w:tc>
      </w:tr>
      <w:tr w:rsidR="00DE377F" w:rsidRPr="00DE377F" w14:paraId="0653FD96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64CB83B4" w14:textId="77777777" w:rsidR="00DE377F" w:rsidRPr="00DE377F" w:rsidRDefault="00DE377F" w:rsidP="00895CE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Platiteľ DPH: </w:t>
            </w:r>
            <w:r w:rsidR="00895CE6" w:rsidRPr="00DE70E2">
              <w:rPr>
                <w:bCs/>
                <w:strike/>
                <w:szCs w:val="24"/>
              </w:rPr>
              <w:t>áno</w:t>
            </w:r>
            <w:r w:rsidR="00895CE6" w:rsidRPr="00845131">
              <w:rPr>
                <w:b/>
                <w:bCs/>
                <w:strike/>
                <w:szCs w:val="24"/>
              </w:rPr>
              <w:t>/</w:t>
            </w:r>
            <w:r w:rsidR="00895CE6" w:rsidRPr="001F5995">
              <w:rPr>
                <w:bCs/>
              </w:rPr>
              <w:t>nie</w:t>
            </w:r>
            <w:r w:rsidR="00895CE6" w:rsidRPr="00DE377F">
              <w:rPr>
                <w:b/>
                <w:bCs/>
              </w:rPr>
              <w:t xml:space="preserve"> </w:t>
            </w:r>
          </w:p>
        </w:tc>
        <w:tc>
          <w:tcPr>
            <w:tcW w:w="4126" w:type="dxa"/>
            <w:gridSpan w:val="2"/>
            <w:hideMark/>
          </w:tcPr>
          <w:p w14:paraId="6E88849A" w14:textId="77777777" w:rsidR="00DE377F" w:rsidRPr="00DE377F" w:rsidRDefault="00DE377F" w:rsidP="00FF399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  <w:r w:rsidR="00512D39">
              <w:rPr>
                <w:b/>
                <w:bCs/>
              </w:rPr>
              <w:t xml:space="preserve"> </w:t>
            </w:r>
            <w:r w:rsidR="00512D39" w:rsidRPr="0003068C">
              <w:rPr>
                <w:bCs/>
              </w:rPr>
              <w:t>SK 2020877749</w:t>
            </w:r>
          </w:p>
        </w:tc>
      </w:tr>
      <w:tr w:rsidR="00DE377F" w:rsidRPr="00DE377F" w14:paraId="6D6A6DDD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5F341DDC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  <w:r w:rsidR="00972CA6">
              <w:rPr>
                <w:b/>
                <w:bCs/>
              </w:rPr>
              <w:t xml:space="preserve"> </w:t>
            </w:r>
            <w:r w:rsidR="00972CA6" w:rsidRPr="00972CA6">
              <w:rPr>
                <w:bCs/>
              </w:rPr>
              <w:t>Príspevková organizácia</w:t>
            </w:r>
          </w:p>
        </w:tc>
      </w:tr>
      <w:tr w:rsidR="00DE377F" w:rsidRPr="00DE377F" w14:paraId="21F8412D" w14:textId="77777777" w:rsidTr="0003068C">
        <w:trPr>
          <w:trHeight w:val="269"/>
        </w:trPr>
        <w:tc>
          <w:tcPr>
            <w:tcW w:w="9288" w:type="dxa"/>
            <w:gridSpan w:val="4"/>
            <w:hideMark/>
          </w:tcPr>
          <w:p w14:paraId="2705BB89" w14:textId="77777777" w:rsidR="00DE377F" w:rsidRPr="00DE377F" w:rsidRDefault="00DE377F" w:rsidP="00CF582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Štatutárny orgán</w:t>
            </w:r>
            <w:r w:rsidRPr="00F24C6A">
              <w:rPr>
                <w:bCs/>
              </w:rPr>
              <w:t xml:space="preserve">: </w:t>
            </w:r>
            <w:r w:rsidR="00F24C6A" w:rsidRPr="00F24C6A">
              <w:rPr>
                <w:bCs/>
              </w:rPr>
              <w:t>generálna riaditeľka</w:t>
            </w:r>
          </w:p>
        </w:tc>
      </w:tr>
      <w:tr w:rsidR="00DE377F" w:rsidRPr="00DE377F" w14:paraId="4F2F4EB3" w14:textId="77777777" w:rsidTr="00DE377F">
        <w:trPr>
          <w:trHeight w:val="330"/>
        </w:trPr>
        <w:tc>
          <w:tcPr>
            <w:tcW w:w="2577" w:type="dxa"/>
            <w:hideMark/>
          </w:tcPr>
          <w:p w14:paraId="4BE91CFC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4909CDE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182C24E1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708F940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554ECF8E" w14:textId="77777777" w:rsidTr="00DE377F">
        <w:trPr>
          <w:trHeight w:val="330"/>
        </w:trPr>
        <w:tc>
          <w:tcPr>
            <w:tcW w:w="2577" w:type="dxa"/>
            <w:hideMark/>
          </w:tcPr>
          <w:p w14:paraId="64EB07A9" w14:textId="77777777" w:rsidR="00DE377F" w:rsidRPr="00481B35" w:rsidRDefault="00DE377F">
            <w:pPr>
              <w:rPr>
                <w:bCs/>
              </w:rPr>
            </w:pPr>
            <w:r w:rsidRPr="00481B35">
              <w:rPr>
                <w:bCs/>
              </w:rPr>
              <w:t> </w:t>
            </w:r>
            <w:r w:rsidR="00EA1D6B" w:rsidRPr="00481B35">
              <w:rPr>
                <w:bCs/>
              </w:rPr>
              <w:t>JUDr.</w:t>
            </w:r>
          </w:p>
        </w:tc>
        <w:tc>
          <w:tcPr>
            <w:tcW w:w="2585" w:type="dxa"/>
            <w:hideMark/>
          </w:tcPr>
          <w:p w14:paraId="2791C80C" w14:textId="77777777" w:rsidR="00DE377F" w:rsidRPr="00481B35" w:rsidRDefault="00DE377F">
            <w:pPr>
              <w:rPr>
                <w:bCs/>
              </w:rPr>
            </w:pPr>
            <w:r w:rsidRPr="00481B35">
              <w:rPr>
                <w:bCs/>
              </w:rPr>
              <w:t> </w:t>
            </w:r>
            <w:r w:rsidR="00972CA6" w:rsidRPr="00481B35">
              <w:rPr>
                <w:bCs/>
              </w:rPr>
              <w:t xml:space="preserve">Svetlana </w:t>
            </w:r>
          </w:p>
        </w:tc>
        <w:tc>
          <w:tcPr>
            <w:tcW w:w="1487" w:type="dxa"/>
            <w:hideMark/>
          </w:tcPr>
          <w:p w14:paraId="1EB42C2F" w14:textId="77777777" w:rsidR="00DE377F" w:rsidRPr="00481B35" w:rsidRDefault="00DE377F">
            <w:pPr>
              <w:rPr>
                <w:bCs/>
              </w:rPr>
            </w:pPr>
            <w:r w:rsidRPr="00481B35">
              <w:rPr>
                <w:bCs/>
              </w:rPr>
              <w:t> </w:t>
            </w:r>
            <w:r w:rsidR="00972CA6" w:rsidRPr="00481B35">
              <w:rPr>
                <w:bCs/>
              </w:rPr>
              <w:t>Gavorová</w:t>
            </w:r>
          </w:p>
        </w:tc>
        <w:tc>
          <w:tcPr>
            <w:tcW w:w="2639" w:type="dxa"/>
            <w:hideMark/>
          </w:tcPr>
          <w:p w14:paraId="010FC6E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4B7D5E8B" w14:textId="77777777" w:rsidR="00A53490" w:rsidRDefault="00A53490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69BCF2E8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23A0C547" w14:textId="77777777" w:rsidR="00DE377F" w:rsidRPr="00DE377F" w:rsidRDefault="00DE377F" w:rsidP="00A9088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2. Identifikácia organizačnej zložky zodpovednej za realizáciu projektu</w:t>
            </w:r>
          </w:p>
        </w:tc>
      </w:tr>
      <w:tr w:rsidR="00DE377F" w:rsidRPr="00DE377F" w14:paraId="222B9887" w14:textId="77777777" w:rsidTr="00187776">
        <w:trPr>
          <w:trHeight w:val="330"/>
        </w:trPr>
        <w:tc>
          <w:tcPr>
            <w:tcW w:w="9288" w:type="dxa"/>
            <w:hideMark/>
          </w:tcPr>
          <w:p w14:paraId="10BF9E61" w14:textId="77777777" w:rsidR="00DE377F" w:rsidRPr="00DE377F" w:rsidRDefault="00DE377F" w:rsidP="00F24C6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="00F24C6A" w:rsidRPr="00F24C6A">
              <w:rPr>
                <w:bCs/>
              </w:rPr>
              <w:t>Sekcia energetických činností</w:t>
            </w:r>
            <w:r w:rsidR="00A9088F">
              <w:rPr>
                <w:bCs/>
              </w:rPr>
              <w:t xml:space="preserve">, </w:t>
            </w:r>
            <w:r w:rsidR="00A9088F" w:rsidRPr="0016749B">
              <w:t>Slovenská inovačná a energetická agentúra</w:t>
            </w:r>
          </w:p>
        </w:tc>
      </w:tr>
      <w:tr w:rsidR="00DE377F" w:rsidRPr="00DE377F" w14:paraId="4559286D" w14:textId="77777777" w:rsidTr="00187776">
        <w:trPr>
          <w:trHeight w:val="330"/>
        </w:trPr>
        <w:tc>
          <w:tcPr>
            <w:tcW w:w="9288" w:type="dxa"/>
            <w:hideMark/>
          </w:tcPr>
          <w:p w14:paraId="7D8729BD" w14:textId="77777777" w:rsidR="00DE377F" w:rsidRPr="00DE377F" w:rsidRDefault="00DE377F" w:rsidP="0004551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="00F24C6A" w:rsidRPr="00EA1D6B">
              <w:rPr>
                <w:bCs/>
              </w:rPr>
              <w:t>Bajkalská 27, Bratislava</w:t>
            </w:r>
            <w:r w:rsidR="00045510">
              <w:rPr>
                <w:bCs/>
              </w:rPr>
              <w:t xml:space="preserve">, </w:t>
            </w:r>
            <w:r w:rsidR="00F24C6A" w:rsidRPr="00EA1D6B">
              <w:rPr>
                <w:bCs/>
              </w:rPr>
              <w:t>827 99</w:t>
            </w:r>
          </w:p>
        </w:tc>
      </w:tr>
    </w:tbl>
    <w:p w14:paraId="72A833F7" w14:textId="0C64F755" w:rsidR="00DE377F" w:rsidRDefault="00DE377F" w:rsidP="00FA4031">
      <w:pPr>
        <w:spacing w:after="18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17"/>
        <w:gridCol w:w="2462"/>
        <w:gridCol w:w="1517"/>
        <w:gridCol w:w="1698"/>
        <w:gridCol w:w="1194"/>
      </w:tblGrid>
      <w:tr w:rsidR="00CD6015" w:rsidRPr="00DE377F" w14:paraId="260C8C9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39DE73C8" w14:textId="7514951B" w:rsidR="00CD6015" w:rsidRPr="00DE377F" w:rsidRDefault="00CD6015" w:rsidP="000F20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 xml:space="preserve">. Komunikácia vo veci </w:t>
            </w:r>
            <w:r w:rsidR="00CF582D">
              <w:rPr>
                <w:b/>
                <w:bCs/>
              </w:rPr>
              <w:t>projektového zámeru NP</w:t>
            </w:r>
          </w:p>
        </w:tc>
      </w:tr>
      <w:tr w:rsidR="00CD6015" w:rsidRPr="00DE377F" w14:paraId="6C7DAF64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4A7B050D" w14:textId="1CE7F6E8" w:rsidR="00CD6015" w:rsidRPr="00DE377F" w:rsidRDefault="00CD6015" w:rsidP="00CF582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="004C6835" w:rsidRPr="00D31E19">
              <w:rPr>
                <w:szCs w:val="24"/>
              </w:rPr>
              <w:t>SIEA, Rudlovská cesta 53, Banská Bystrica, 974 28</w:t>
            </w:r>
          </w:p>
        </w:tc>
      </w:tr>
      <w:tr w:rsidR="00CD6015" w:rsidRPr="00DE377F" w14:paraId="25AF04EB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2CBE9035" w14:textId="102DDA8F" w:rsidR="00CD6015" w:rsidRPr="00DE377F" w:rsidRDefault="00CD6015" w:rsidP="00CF582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="00211F29" w:rsidRPr="00211F29">
              <w:rPr>
                <w:bCs/>
              </w:rPr>
              <w:t>Ing. Peter Štibraný</w:t>
            </w:r>
          </w:p>
        </w:tc>
      </w:tr>
      <w:tr w:rsidR="00CD6015" w:rsidRPr="00DE377F" w14:paraId="0369FFE0" w14:textId="77777777" w:rsidTr="00CD6015">
        <w:trPr>
          <w:trHeight w:val="330"/>
        </w:trPr>
        <w:tc>
          <w:tcPr>
            <w:tcW w:w="2470" w:type="dxa"/>
            <w:hideMark/>
          </w:tcPr>
          <w:p w14:paraId="465C5FAC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60CF1B1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4EC70E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5D371011" w14:textId="77777777" w:rsidR="00CD6015" w:rsidRPr="00DE377F" w:rsidRDefault="00CD6015" w:rsidP="00A60DD7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24704DEB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26585235" w14:textId="77777777" w:rsidTr="00CD6015">
        <w:trPr>
          <w:trHeight w:val="330"/>
        </w:trPr>
        <w:tc>
          <w:tcPr>
            <w:tcW w:w="2470" w:type="dxa"/>
            <w:hideMark/>
          </w:tcPr>
          <w:p w14:paraId="1489DD24" w14:textId="77777777" w:rsidR="00CD6015" w:rsidRPr="00F24C6A" w:rsidRDefault="00CD6015" w:rsidP="00B4260D">
            <w:pPr>
              <w:rPr>
                <w:bCs/>
              </w:rPr>
            </w:pPr>
            <w:r w:rsidRPr="00F24C6A">
              <w:rPr>
                <w:bCs/>
              </w:rPr>
              <w:t> </w:t>
            </w:r>
            <w:r w:rsidR="00F24C6A" w:rsidRPr="00F24C6A">
              <w:rPr>
                <w:bCs/>
              </w:rPr>
              <w:t>Ing.</w:t>
            </w:r>
          </w:p>
        </w:tc>
        <w:tc>
          <w:tcPr>
            <w:tcW w:w="2530" w:type="dxa"/>
            <w:hideMark/>
          </w:tcPr>
          <w:p w14:paraId="07F55A5D" w14:textId="77777777" w:rsidR="00CD6015" w:rsidRPr="00F24C6A" w:rsidRDefault="00F24C6A" w:rsidP="00B4260D">
            <w:pPr>
              <w:rPr>
                <w:bCs/>
              </w:rPr>
            </w:pPr>
            <w:r>
              <w:rPr>
                <w:bCs/>
              </w:rPr>
              <w:t>Peter</w:t>
            </w:r>
          </w:p>
        </w:tc>
        <w:tc>
          <w:tcPr>
            <w:tcW w:w="1531" w:type="dxa"/>
            <w:hideMark/>
          </w:tcPr>
          <w:p w14:paraId="6A9862AC" w14:textId="77777777" w:rsidR="00CD6015" w:rsidRPr="00F24C6A" w:rsidRDefault="00CD6015" w:rsidP="00F24C6A">
            <w:pPr>
              <w:rPr>
                <w:bCs/>
              </w:rPr>
            </w:pPr>
            <w:r w:rsidRPr="00F24C6A">
              <w:rPr>
                <w:bCs/>
              </w:rPr>
              <w:t> </w:t>
            </w:r>
            <w:r w:rsidR="00F24C6A">
              <w:rPr>
                <w:bCs/>
              </w:rPr>
              <w:t>Štibraný</w:t>
            </w:r>
          </w:p>
        </w:tc>
        <w:tc>
          <w:tcPr>
            <w:tcW w:w="1740" w:type="dxa"/>
            <w:hideMark/>
          </w:tcPr>
          <w:p w14:paraId="730E45DC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59AFFE9" w14:textId="77777777" w:rsidR="00CD6015" w:rsidRPr="00574DEF" w:rsidRDefault="00F24C6A" w:rsidP="00F24C6A">
            <w:pPr>
              <w:rPr>
                <w:bCs/>
                <w:szCs w:val="24"/>
              </w:rPr>
            </w:pPr>
            <w:r w:rsidRPr="00574DEF">
              <w:rPr>
                <w:bCs/>
                <w:szCs w:val="24"/>
              </w:rPr>
              <w:t>Prijímateľ</w:t>
            </w:r>
          </w:p>
        </w:tc>
      </w:tr>
      <w:tr w:rsidR="00CD6015" w:rsidRPr="00DE377F" w14:paraId="010AE04A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25567673" w14:textId="77777777" w:rsidR="00CD6015" w:rsidRPr="00DE377F" w:rsidRDefault="00CD6015" w:rsidP="00B10835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="00F24C6A">
              <w:t>SIEA, Rudlovská cesta 53, Banská Bystrica, 974 28</w:t>
            </w:r>
          </w:p>
        </w:tc>
      </w:tr>
      <w:tr w:rsidR="00CD6015" w:rsidRPr="00DE377F" w14:paraId="4A08A4E0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194B2770" w14:textId="77777777" w:rsidR="00A9088F" w:rsidRPr="00DE377F" w:rsidRDefault="00CD6015" w:rsidP="00A9088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  <w:r w:rsidR="00F24C6A">
              <w:rPr>
                <w:b/>
                <w:bCs/>
              </w:rPr>
              <w:t xml:space="preserve"> </w:t>
            </w:r>
            <w:hyperlink r:id="rId13" w:history="1">
              <w:r w:rsidR="00A9088F" w:rsidRPr="00574DEF">
                <w:rPr>
                  <w:rStyle w:val="Hypertextovprepojenie"/>
                  <w:bCs/>
                </w:rPr>
                <w:t>peter.stibrany@siea.gov.sk</w:t>
              </w:r>
            </w:hyperlink>
          </w:p>
        </w:tc>
        <w:tc>
          <w:tcPr>
            <w:tcW w:w="4288" w:type="dxa"/>
            <w:gridSpan w:val="3"/>
            <w:hideMark/>
          </w:tcPr>
          <w:p w14:paraId="7334C223" w14:textId="77777777" w:rsidR="00CD6015" w:rsidRPr="00DE377F" w:rsidRDefault="00F24C6A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</w:t>
            </w:r>
            <w:r w:rsidR="00CD6015" w:rsidRPr="00DE377F">
              <w:rPr>
                <w:b/>
                <w:bCs/>
              </w:rPr>
              <w:t>elefón</w:t>
            </w:r>
            <w:r>
              <w:rPr>
                <w:b/>
                <w:bCs/>
              </w:rPr>
              <w:t xml:space="preserve">: </w:t>
            </w:r>
            <w:r w:rsidRPr="00F24C6A">
              <w:rPr>
                <w:bCs/>
              </w:rPr>
              <w:t>0917 410</w:t>
            </w:r>
            <w:r w:rsidR="00A9088F">
              <w:rPr>
                <w:bCs/>
              </w:rPr>
              <w:t xml:space="preserve"> </w:t>
            </w:r>
            <w:r w:rsidRPr="00F24C6A">
              <w:rPr>
                <w:bCs/>
              </w:rPr>
              <w:t>506</w:t>
            </w:r>
          </w:p>
        </w:tc>
      </w:tr>
    </w:tbl>
    <w:p w14:paraId="48A9F3AD" w14:textId="77777777" w:rsidR="00CD6015" w:rsidRDefault="00CD6015" w:rsidP="00FA4031">
      <w:pPr>
        <w:spacing w:after="180" w:line="240" w:lineRule="auto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10835" w:rsidRPr="00DE377F" w14:paraId="05EF0FFE" w14:textId="77777777" w:rsidTr="00C64948">
        <w:trPr>
          <w:trHeight w:val="330"/>
        </w:trPr>
        <w:tc>
          <w:tcPr>
            <w:tcW w:w="9322" w:type="dxa"/>
            <w:shd w:val="clear" w:color="auto" w:fill="CCC0D9" w:themeFill="accent4" w:themeFillTint="66"/>
          </w:tcPr>
          <w:p w14:paraId="0254AFF6" w14:textId="77777777" w:rsidR="00B10835" w:rsidRDefault="00BB3261" w:rsidP="002745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="00B10835">
              <w:rPr>
                <w:b/>
                <w:bCs/>
              </w:rPr>
              <w:t>Zdôvodnenie využitia národného projektu a vylúčenia výberu prostredníctvom výzvy</w:t>
            </w:r>
            <w:r>
              <w:rPr>
                <w:b/>
                <w:bCs/>
              </w:rPr>
              <w:t xml:space="preserve"> a zdôvodnenie určenia prijímateľa</w:t>
            </w:r>
          </w:p>
        </w:tc>
      </w:tr>
      <w:tr w:rsidR="00B10835" w:rsidRPr="00DE377F" w14:paraId="2B24A481" w14:textId="77777777" w:rsidTr="00C64948">
        <w:trPr>
          <w:trHeight w:val="330"/>
        </w:trPr>
        <w:tc>
          <w:tcPr>
            <w:tcW w:w="9322" w:type="dxa"/>
          </w:tcPr>
          <w:p w14:paraId="3F45296A" w14:textId="3A8AB35A" w:rsidR="009F24DE" w:rsidRPr="000E7AFD" w:rsidRDefault="00E84C7A" w:rsidP="00CF74AB">
            <w:pPr>
              <w:rPr>
                <w:bCs/>
              </w:rPr>
            </w:pPr>
            <w:r w:rsidRPr="000E7AFD">
              <w:rPr>
                <w:bCs/>
              </w:rPr>
              <w:t>Forma národného projektu najlepšie spĺňa požiadavky na roz</w:t>
            </w:r>
            <w:r w:rsidR="0041755A">
              <w:rPr>
                <w:bCs/>
              </w:rPr>
              <w:t xml:space="preserve">šírenie doterajšieho </w:t>
            </w:r>
            <w:r w:rsidRPr="000E7AFD">
              <w:rPr>
                <w:bCs/>
              </w:rPr>
              <w:t xml:space="preserve"> </w:t>
            </w:r>
            <w:r w:rsidR="0041755A">
              <w:rPr>
                <w:bCs/>
              </w:rPr>
              <w:t xml:space="preserve">monitorovania </w:t>
            </w:r>
            <w:r w:rsidR="00F114E9">
              <w:rPr>
                <w:bCs/>
              </w:rPr>
              <w:t>energetickej efektívnosti</w:t>
            </w:r>
            <w:r w:rsidR="0041755A">
              <w:rPr>
                <w:bCs/>
              </w:rPr>
              <w:t xml:space="preserve"> realizovaného SIEA</w:t>
            </w:r>
            <w:r w:rsidR="00F114E9">
              <w:rPr>
                <w:bCs/>
              </w:rPr>
              <w:t xml:space="preserve"> </w:t>
            </w:r>
            <w:r w:rsidR="0041755A">
              <w:rPr>
                <w:bCs/>
              </w:rPr>
              <w:t xml:space="preserve">ako jediného oprávneného subjektu pre prevádzkovanie Monitorovacieho systému energetickej efektívnosti </w:t>
            </w:r>
            <w:r w:rsidR="00F114E9">
              <w:rPr>
                <w:bCs/>
              </w:rPr>
              <w:t>(M</w:t>
            </w:r>
            <w:r w:rsidRPr="000E7AFD">
              <w:rPr>
                <w:bCs/>
              </w:rPr>
              <w:t>SEE</w:t>
            </w:r>
            <w:r w:rsidR="00F114E9">
              <w:rPr>
                <w:bCs/>
              </w:rPr>
              <w:t>)</w:t>
            </w:r>
            <w:r w:rsidR="00B05920">
              <w:rPr>
                <w:bCs/>
              </w:rPr>
              <w:t>.</w:t>
            </w:r>
            <w:r w:rsidR="0041755A" w:rsidRPr="000E7AFD" w:rsidDel="0041755A">
              <w:rPr>
                <w:bCs/>
              </w:rPr>
              <w:t xml:space="preserve"> </w:t>
            </w:r>
          </w:p>
          <w:p w14:paraId="557D8910" w14:textId="43CD3D1B" w:rsidR="00EB4E98" w:rsidRDefault="00EB4E98" w:rsidP="0086645E">
            <w:pPr>
              <w:rPr>
                <w:bCs/>
              </w:rPr>
            </w:pPr>
          </w:p>
          <w:p w14:paraId="7CDCB2A0" w14:textId="7F8BCB5D" w:rsidR="00EB4E98" w:rsidRDefault="00EB4E98" w:rsidP="0086645E">
            <w:pPr>
              <w:rPr>
                <w:bCs/>
              </w:rPr>
            </w:pPr>
            <w:r w:rsidRPr="00EB4E98">
              <w:rPr>
                <w:bCs/>
              </w:rPr>
              <w:t>M</w:t>
            </w:r>
            <w:r w:rsidR="0041755A">
              <w:rPr>
                <w:bCs/>
              </w:rPr>
              <w:t>SEE</w:t>
            </w:r>
            <w:r w:rsidRPr="00EB4E98">
              <w:rPr>
                <w:bCs/>
              </w:rPr>
              <w:t xml:space="preserve"> je jedinečný systém, ktorý celoplošne sústreďuje údaje o spotrebách energií a vyhodnocuje energetickú efektívnosť. Spracované údaje sú poskytované ústredným orgánom štátnej správy, pričom napomáhajú pri stanovení a vyhodnocovaní plánov energetickej efektívnosti, vyhodnocovaní ekonomických a environmentálnych dopadov súvisiacich s monitorovanými opatreniami energetickej efektívnosti. </w:t>
            </w:r>
          </w:p>
          <w:p w14:paraId="7C46F926" w14:textId="77777777" w:rsidR="00EB4E98" w:rsidRDefault="00EB4E98" w:rsidP="0086645E">
            <w:pPr>
              <w:rPr>
                <w:bCs/>
              </w:rPr>
            </w:pPr>
          </w:p>
          <w:p w14:paraId="12C3CAC7" w14:textId="31A1ECAD" w:rsidR="00EB4E98" w:rsidRDefault="00EB4E98" w:rsidP="00EB4E98">
            <w:pPr>
              <w:rPr>
                <w:bCs/>
              </w:rPr>
            </w:pPr>
            <w:r w:rsidRPr="000E7AFD">
              <w:rPr>
                <w:bCs/>
              </w:rPr>
              <w:t>SIEA disponuje odborne erudovaný</w:t>
            </w:r>
            <w:r w:rsidR="0041755A">
              <w:rPr>
                <w:bCs/>
              </w:rPr>
              <w:t>mi</w:t>
            </w:r>
            <w:r w:rsidRPr="000E7AFD">
              <w:rPr>
                <w:bCs/>
              </w:rPr>
              <w:t xml:space="preserve"> zamestnanc</w:t>
            </w:r>
            <w:r w:rsidR="0041755A">
              <w:rPr>
                <w:bCs/>
              </w:rPr>
              <w:t>ami</w:t>
            </w:r>
            <w:r w:rsidRPr="000E7AFD">
              <w:rPr>
                <w:bCs/>
              </w:rPr>
              <w:t>, čo dáva predpoklady na odbornú verifikáciu vstupujúcich dát a kontinuálny rozvoj</w:t>
            </w:r>
            <w:r w:rsidR="0041755A">
              <w:rPr>
                <w:bCs/>
              </w:rPr>
              <w:t xml:space="preserve"> monitorovania energetickej efektívnosti nielen prostredníctvom MSEE</w:t>
            </w:r>
            <w:r w:rsidRPr="000E7AFD">
              <w:rPr>
                <w:bCs/>
              </w:rPr>
              <w:t xml:space="preserve">. MSEE je okrem súboru softwarových a hardwarových nástrojov aj balíkom znalostí </w:t>
            </w:r>
            <w:r w:rsidR="0041755A">
              <w:rPr>
                <w:bCs/>
              </w:rPr>
              <w:t>zamestnancov SIEA</w:t>
            </w:r>
            <w:r w:rsidRPr="000E7AFD">
              <w:rPr>
                <w:bCs/>
              </w:rPr>
              <w:t>, k</w:t>
            </w:r>
            <w:r w:rsidR="0041755A">
              <w:rPr>
                <w:bCs/>
              </w:rPr>
              <w:t>t</w:t>
            </w:r>
            <w:r w:rsidRPr="000E7AFD">
              <w:rPr>
                <w:bCs/>
              </w:rPr>
              <w:t xml:space="preserve">orí majú skúsenosti s energetikou aj praktickou prevádzkou tohto databázového nástroja. </w:t>
            </w:r>
          </w:p>
          <w:p w14:paraId="33405085" w14:textId="1CEE268A" w:rsidR="00EB4E98" w:rsidRDefault="00EB4E98" w:rsidP="0086645E">
            <w:pPr>
              <w:rPr>
                <w:bCs/>
              </w:rPr>
            </w:pPr>
          </w:p>
          <w:p w14:paraId="0C54C560" w14:textId="3B0579D4" w:rsidR="00BB3261" w:rsidRDefault="00BB3261" w:rsidP="003E3C3B">
            <w:pPr>
              <w:rPr>
                <w:b/>
                <w:bCs/>
              </w:rPr>
            </w:pPr>
            <w:r>
              <w:rPr>
                <w:bCs/>
              </w:rPr>
              <w:t>Prijímateľom národného projektu je Slovenská inovačná a energetická agentúra, ktorá je príspevková organizácia Ministerstva hospodárstva SR a je určená priamo v Operačnom programe Kvalita životného prostredia (OP KŽP) na programové obdobie 2014 – 2020</w:t>
            </w:r>
            <w:r w:rsidR="002E69A1">
              <w:rPr>
                <w:bCs/>
              </w:rPr>
              <w:t>.</w:t>
            </w:r>
            <w:r w:rsidR="008261D6">
              <w:rPr>
                <w:bCs/>
              </w:rPr>
              <w:t xml:space="preserve"> </w:t>
            </w:r>
            <w:r>
              <w:rPr>
                <w:bCs/>
              </w:rPr>
              <w:t>SIEA je prevádzkovateľom M</w:t>
            </w:r>
            <w:r w:rsidR="0041755A">
              <w:rPr>
                <w:bCs/>
              </w:rPr>
              <w:t xml:space="preserve">SEE </w:t>
            </w:r>
            <w:r>
              <w:rPr>
                <w:bCs/>
              </w:rPr>
              <w:t>od roku 2009 a</w:t>
            </w:r>
            <w:r w:rsidR="002F1806">
              <w:rPr>
                <w:bCs/>
              </w:rPr>
              <w:t xml:space="preserve"> </w:t>
            </w:r>
            <w:r>
              <w:rPr>
                <w:bCs/>
              </w:rPr>
              <w:t>má poverenie na prevádzku MSEE v zmysle Rozhodnutia č. 31/2014 Ministerstva hospodárstva SR na vykonávanie monitorovania energetickej efektívnosti v zmysle zákona č. 321/2014 Z. z. o energetickej efektívnosti a o zmene a doplnení niektorých zákonov. Vzhľadom na vyššie uvedené skutočnosti je SIEA ako prijímateľ preto aj jediným žiadateľom.</w:t>
            </w:r>
          </w:p>
        </w:tc>
      </w:tr>
    </w:tbl>
    <w:p w14:paraId="4427C269" w14:textId="77777777" w:rsidR="002B690D" w:rsidRDefault="002B690D" w:rsidP="00C64948">
      <w:pPr>
        <w:spacing w:after="180" w:line="240" w:lineRule="auto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DE377F" w14:paraId="7A7CE8A6" w14:textId="77777777" w:rsidTr="00C64948">
        <w:trPr>
          <w:trHeight w:val="330"/>
        </w:trPr>
        <w:tc>
          <w:tcPr>
            <w:tcW w:w="9322" w:type="dxa"/>
            <w:shd w:val="clear" w:color="auto" w:fill="CCC0D9" w:themeFill="accent4" w:themeFillTint="66"/>
            <w:hideMark/>
          </w:tcPr>
          <w:p w14:paraId="04DBACB2" w14:textId="6E950E2F" w:rsidR="00DE377F" w:rsidRPr="00DE377F" w:rsidRDefault="00DE377F" w:rsidP="00B0199A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5. Identifikácia </w:t>
            </w:r>
            <w:r w:rsidR="00A53490">
              <w:rPr>
                <w:b/>
                <w:bCs/>
              </w:rPr>
              <w:t xml:space="preserve">národného </w:t>
            </w:r>
            <w:r w:rsidRPr="00DE377F">
              <w:rPr>
                <w:b/>
                <w:bCs/>
              </w:rPr>
              <w:t>projektu</w:t>
            </w:r>
          </w:p>
        </w:tc>
      </w:tr>
      <w:tr w:rsidR="006A1AFD" w:rsidRPr="00DE377F" w14:paraId="132F0CF5" w14:textId="77777777" w:rsidTr="00C64948">
        <w:trPr>
          <w:trHeight w:val="315"/>
        </w:trPr>
        <w:tc>
          <w:tcPr>
            <w:tcW w:w="9322" w:type="dxa"/>
          </w:tcPr>
          <w:p w14:paraId="24F62D28" w14:textId="77777777" w:rsidR="006A1AFD" w:rsidRDefault="006A1AFD" w:rsidP="000C140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  <w:r w:rsidR="00712B17">
              <w:rPr>
                <w:b/>
                <w:bCs/>
              </w:rPr>
              <w:t xml:space="preserve"> </w:t>
            </w:r>
          </w:p>
        </w:tc>
      </w:tr>
      <w:tr w:rsidR="006A1AFD" w:rsidRPr="00DE377F" w14:paraId="14896C9B" w14:textId="77777777" w:rsidTr="00C64948">
        <w:trPr>
          <w:trHeight w:val="315"/>
        </w:trPr>
        <w:tc>
          <w:tcPr>
            <w:tcW w:w="9322" w:type="dxa"/>
          </w:tcPr>
          <w:p w14:paraId="0F10DA0A" w14:textId="77777777" w:rsidR="006A1AFD" w:rsidRDefault="00CA6D75">
            <w:pPr>
              <w:rPr>
                <w:b/>
                <w:bCs/>
              </w:rPr>
            </w:pPr>
            <w:r w:rsidRPr="00D15CB1">
              <w:rPr>
                <w:bCs/>
                <w:szCs w:val="20"/>
                <w:lang w:eastAsia="x-none"/>
              </w:rPr>
              <w:t>Rozšírenie monitorovania energetickej efektívnosti</w:t>
            </w:r>
          </w:p>
        </w:tc>
      </w:tr>
      <w:tr w:rsidR="00340992" w:rsidRPr="00DE377F" w14:paraId="74BFF8EC" w14:textId="77777777" w:rsidTr="00C64948">
        <w:trPr>
          <w:trHeight w:val="315"/>
        </w:trPr>
        <w:tc>
          <w:tcPr>
            <w:tcW w:w="9322" w:type="dxa"/>
          </w:tcPr>
          <w:p w14:paraId="771827E8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14851F68" w14:textId="77777777" w:rsidTr="00C64948">
        <w:trPr>
          <w:trHeight w:val="315"/>
        </w:trPr>
        <w:tc>
          <w:tcPr>
            <w:tcW w:w="9322" w:type="dxa"/>
          </w:tcPr>
          <w:p w14:paraId="03BD6981" w14:textId="77777777" w:rsidR="00340992" w:rsidRPr="00DE377F" w:rsidRDefault="00512D39" w:rsidP="006963B8">
            <w:pPr>
              <w:jc w:val="left"/>
              <w:rPr>
                <w:b/>
                <w:bCs/>
              </w:rPr>
            </w:pPr>
            <w:r>
              <w:rPr>
                <w:bCs/>
              </w:rPr>
              <w:lastRenderedPageBreak/>
              <w:t>4: Energeticky efektívne nízkouhlíkové hospodárstvo vo všetkých sektoroch</w:t>
            </w:r>
          </w:p>
        </w:tc>
      </w:tr>
      <w:tr w:rsidR="00340992" w:rsidRPr="00DE377F" w14:paraId="2C9E7185" w14:textId="77777777" w:rsidTr="00C64948">
        <w:trPr>
          <w:trHeight w:val="315"/>
        </w:trPr>
        <w:tc>
          <w:tcPr>
            <w:tcW w:w="9322" w:type="dxa"/>
          </w:tcPr>
          <w:p w14:paraId="52128C55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23CFD918" w14:textId="77777777" w:rsidTr="00C64948">
        <w:trPr>
          <w:trHeight w:val="315"/>
        </w:trPr>
        <w:tc>
          <w:tcPr>
            <w:tcW w:w="9322" w:type="dxa"/>
          </w:tcPr>
          <w:p w14:paraId="5575D095" w14:textId="4FF00A63" w:rsidR="00340992" w:rsidRPr="002F393A" w:rsidRDefault="000C1406" w:rsidP="00C93640">
            <w:pPr>
              <w:rPr>
                <w:sz w:val="18"/>
                <w:szCs w:val="18"/>
              </w:rPr>
            </w:pPr>
            <w:r w:rsidRPr="000C1406">
              <w:rPr>
                <w:bCs/>
              </w:rPr>
              <w:t>4.4.1</w:t>
            </w:r>
            <w:r w:rsidR="00F1015C">
              <w:rPr>
                <w:bCs/>
              </w:rPr>
              <w:t>:</w:t>
            </w:r>
            <w:r w:rsidRPr="000C1406">
              <w:rPr>
                <w:bCs/>
              </w:rPr>
              <w:t xml:space="preserve"> Zvyšovanie počtu miestnych plánov a opatrení súvisiacich s nízkouhlíkovou stratégiou pre všetky typy území</w:t>
            </w:r>
          </w:p>
        </w:tc>
      </w:tr>
      <w:tr w:rsidR="009B6F8F" w:rsidRPr="00DE377F" w14:paraId="56CA8903" w14:textId="77777777" w:rsidTr="00C64948">
        <w:trPr>
          <w:trHeight w:val="315"/>
        </w:trPr>
        <w:tc>
          <w:tcPr>
            <w:tcW w:w="9322" w:type="dxa"/>
          </w:tcPr>
          <w:p w14:paraId="77C835F2" w14:textId="77777777" w:rsidR="009B6F8F" w:rsidRPr="002F393A" w:rsidRDefault="009B6F8F">
            <w:pPr>
              <w:rPr>
                <w:sz w:val="18"/>
                <w:szCs w:val="18"/>
              </w:rPr>
            </w:pPr>
            <w:r w:rsidRPr="009B6F8F">
              <w:rPr>
                <w:b/>
                <w:bCs/>
              </w:rPr>
              <w:t>Názov aktivity:</w:t>
            </w:r>
          </w:p>
        </w:tc>
      </w:tr>
      <w:tr w:rsidR="009B6F8F" w:rsidRPr="00DE377F" w14:paraId="4CD0999D" w14:textId="77777777" w:rsidTr="00C64948">
        <w:trPr>
          <w:trHeight w:val="536"/>
        </w:trPr>
        <w:tc>
          <w:tcPr>
            <w:tcW w:w="9322" w:type="dxa"/>
          </w:tcPr>
          <w:p w14:paraId="32F71AEC" w14:textId="77777777" w:rsidR="009B6F8F" w:rsidRPr="00D15CB1" w:rsidRDefault="00D15CB1" w:rsidP="00CA6D75">
            <w:pPr>
              <w:pStyle w:val="Odsekzoznamu"/>
              <w:numPr>
                <w:ilvl w:val="0"/>
                <w:numId w:val="8"/>
              </w:numPr>
              <w:tabs>
                <w:tab w:val="left" w:pos="426"/>
              </w:tabs>
              <w:spacing w:after="120"/>
              <w:ind w:left="30" w:hanging="30"/>
              <w:rPr>
                <w:b/>
                <w:szCs w:val="24"/>
                <w:lang w:eastAsia="x-none"/>
              </w:rPr>
            </w:pPr>
            <w:r w:rsidRPr="00D15CB1">
              <w:rPr>
                <w:bCs/>
                <w:szCs w:val="20"/>
                <w:lang w:eastAsia="x-none"/>
              </w:rPr>
              <w:t>Rozšírenie monitorovania energetickej efektívnosti, využívania OZE a iných nízkouhlíkových opatrení</w:t>
            </w:r>
          </w:p>
        </w:tc>
      </w:tr>
      <w:tr w:rsidR="00DE377F" w:rsidRPr="00DE377F" w14:paraId="55F21D94" w14:textId="77777777" w:rsidTr="00C64948">
        <w:trPr>
          <w:trHeight w:val="315"/>
        </w:trPr>
        <w:tc>
          <w:tcPr>
            <w:tcW w:w="9322" w:type="dxa"/>
            <w:hideMark/>
          </w:tcPr>
          <w:p w14:paraId="79A1F99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AF5B31E" w14:textId="77777777" w:rsidTr="00C64948">
        <w:trPr>
          <w:trHeight w:val="330"/>
        </w:trPr>
        <w:tc>
          <w:tcPr>
            <w:tcW w:w="9322" w:type="dxa"/>
            <w:hideMark/>
          </w:tcPr>
          <w:p w14:paraId="4465A848" w14:textId="77777777" w:rsidR="00DE377F" w:rsidRPr="005E1820" w:rsidRDefault="00DE377F" w:rsidP="00CF74AB">
            <w:r w:rsidRPr="007E2B37">
              <w:rPr>
                <w:strike/>
                <w:szCs w:val="24"/>
              </w:rPr>
              <w:t>Rozvinuté</w:t>
            </w:r>
            <w:r w:rsidRPr="00CA6D75">
              <w:rPr>
                <w:szCs w:val="24"/>
              </w:rPr>
              <w:t>/Menej rozvinuté</w:t>
            </w:r>
          </w:p>
        </w:tc>
      </w:tr>
      <w:tr w:rsidR="008D6D59" w:rsidRPr="00DE377F" w14:paraId="0B1626B5" w14:textId="77777777" w:rsidTr="00C64948">
        <w:trPr>
          <w:trHeight w:val="330"/>
        </w:trPr>
        <w:tc>
          <w:tcPr>
            <w:tcW w:w="9322" w:type="dxa"/>
          </w:tcPr>
          <w:p w14:paraId="0EE53B07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48293EF0" w14:textId="77777777" w:rsidTr="00C64948">
        <w:trPr>
          <w:trHeight w:val="330"/>
        </w:trPr>
        <w:tc>
          <w:tcPr>
            <w:tcW w:w="9322" w:type="dxa"/>
          </w:tcPr>
          <w:p w14:paraId="6BD792D7" w14:textId="7FB94A6B" w:rsidR="008D6D59" w:rsidRPr="002F393A" w:rsidRDefault="00B20EA2" w:rsidP="00BB3261">
            <w:pPr>
              <w:rPr>
                <w:sz w:val="18"/>
                <w:szCs w:val="18"/>
              </w:rPr>
            </w:pPr>
            <w:r w:rsidRPr="00F77833">
              <w:t>Nená</w:t>
            </w:r>
            <w:r w:rsidR="00F77833">
              <w:t xml:space="preserve">vratný finančný príspevok </w:t>
            </w:r>
          </w:p>
        </w:tc>
      </w:tr>
      <w:tr w:rsidR="00913E3B" w:rsidRPr="002A6EF9" w14:paraId="4CA8DD2F" w14:textId="77777777" w:rsidTr="00C64948">
        <w:trPr>
          <w:trHeight w:val="330"/>
        </w:trPr>
        <w:tc>
          <w:tcPr>
            <w:tcW w:w="9322" w:type="dxa"/>
          </w:tcPr>
          <w:p w14:paraId="16D94FDB" w14:textId="1DA57388" w:rsidR="00913E3B" w:rsidRDefault="00913E3B" w:rsidP="00393B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Identifikácia komplementarity a synergie </w:t>
            </w:r>
          </w:p>
          <w:p w14:paraId="0C05916E" w14:textId="64CB43BA" w:rsidR="00E82DAB" w:rsidRPr="002D27A9" w:rsidRDefault="007A0051" w:rsidP="00643131">
            <w:r>
              <w:rPr>
                <w:bCs/>
              </w:rPr>
              <w:t>V</w:t>
            </w:r>
            <w:r w:rsidR="008824A7">
              <w:rPr>
                <w:bCs/>
              </w:rPr>
              <w:t xml:space="preserve"> </w:t>
            </w:r>
            <w:r w:rsidR="00541310" w:rsidRPr="002D27A9">
              <w:rPr>
                <w:bCs/>
              </w:rPr>
              <w:t xml:space="preserve">zmysle </w:t>
            </w:r>
            <w:r w:rsidR="00643131">
              <w:rPr>
                <w:bCs/>
              </w:rPr>
              <w:t>P</w:t>
            </w:r>
            <w:r w:rsidR="00541310" w:rsidRPr="002D27A9">
              <w:rPr>
                <w:bCs/>
              </w:rPr>
              <w:t>rílohy č. 1</w:t>
            </w:r>
            <w:r w:rsidR="00643131">
              <w:rPr>
                <w:bCs/>
              </w:rPr>
              <w:t xml:space="preserve"> Identifikované synergie a komplementarity na programovej úrovni</w:t>
            </w:r>
            <w:r>
              <w:rPr>
                <w:bCs/>
              </w:rPr>
              <w:t>,</w:t>
            </w:r>
            <w:r w:rsidR="00643131">
              <w:rPr>
                <w:bCs/>
              </w:rPr>
              <w:t xml:space="preserve"> </w:t>
            </w:r>
            <w:r w:rsidR="00541310" w:rsidRPr="002D27A9">
              <w:rPr>
                <w:bCs/>
              </w:rPr>
              <w:t xml:space="preserve">Metodického pokynu CKO č. 11 </w:t>
            </w:r>
            <w:r w:rsidR="00643131">
              <w:rPr>
                <w:lang w:eastAsia="sk-SK"/>
              </w:rPr>
              <w:t>k zabezpečeniu koordinácie synergických účinkov medzi EŠIF a inými nástrojmi podpory EÚ a</w:t>
            </w:r>
            <w:r>
              <w:rPr>
                <w:lang w:eastAsia="sk-SK"/>
              </w:rPr>
              <w:t> </w:t>
            </w:r>
            <w:r w:rsidR="00643131">
              <w:rPr>
                <w:lang w:eastAsia="sk-SK"/>
              </w:rPr>
              <w:t>SR</w:t>
            </w:r>
            <w:r>
              <w:rPr>
                <w:lang w:eastAsia="sk-SK"/>
              </w:rPr>
              <w:t>, nie je v prípade tohto projektu identifikovaná</w:t>
            </w:r>
            <w:r w:rsidR="00643131">
              <w:rPr>
                <w:lang w:eastAsia="sk-SK"/>
              </w:rPr>
              <w:t xml:space="preserve"> </w:t>
            </w:r>
            <w:r w:rsidR="00541310" w:rsidRPr="002D27A9">
              <w:rPr>
                <w:bCs/>
              </w:rPr>
              <w:t>synergia a komplementarita na programovej úrovni.</w:t>
            </w:r>
            <w:r w:rsidR="009E6F56" w:rsidRPr="002D27A9">
              <w:t xml:space="preserve"> </w:t>
            </w:r>
          </w:p>
        </w:tc>
      </w:tr>
    </w:tbl>
    <w:p w14:paraId="053A4512" w14:textId="77777777" w:rsidR="00DE377F" w:rsidRDefault="00DE377F" w:rsidP="00C64948">
      <w:pPr>
        <w:spacing w:after="180" w:line="240" w:lineRule="auto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631"/>
        <w:gridCol w:w="2312"/>
        <w:gridCol w:w="2268"/>
        <w:gridCol w:w="2049"/>
        <w:gridCol w:w="2062"/>
      </w:tblGrid>
      <w:tr w:rsidR="00DE377F" w:rsidRPr="00DE377F" w14:paraId="52FC2BD1" w14:textId="77777777" w:rsidTr="00C64948">
        <w:trPr>
          <w:trHeight w:val="242"/>
        </w:trPr>
        <w:tc>
          <w:tcPr>
            <w:tcW w:w="9322" w:type="dxa"/>
            <w:gridSpan w:val="5"/>
            <w:shd w:val="clear" w:color="auto" w:fill="CCC0D9" w:themeFill="accent4" w:themeFillTint="66"/>
            <w:hideMark/>
          </w:tcPr>
          <w:p w14:paraId="277873B8" w14:textId="77777777" w:rsidR="00DE377F" w:rsidRPr="002F393A" w:rsidRDefault="00DE377F" w:rsidP="007E2B37">
            <w:pPr>
              <w:jc w:val="center"/>
              <w:rPr>
                <w:b/>
                <w:bCs/>
                <w:sz w:val="18"/>
                <w:szCs w:val="18"/>
              </w:rPr>
            </w:pPr>
            <w:r w:rsidRPr="00DE377F">
              <w:rPr>
                <w:b/>
                <w:bCs/>
              </w:rPr>
              <w:t>6. Miesto realizácie projektu</w:t>
            </w:r>
          </w:p>
        </w:tc>
      </w:tr>
      <w:tr w:rsidR="003A67A8" w:rsidRPr="00DE377F" w14:paraId="7123BDE0" w14:textId="77777777" w:rsidTr="00C64948">
        <w:trPr>
          <w:trHeight w:val="420"/>
        </w:trPr>
        <w:tc>
          <w:tcPr>
            <w:tcW w:w="631" w:type="dxa"/>
            <w:hideMark/>
          </w:tcPr>
          <w:p w14:paraId="2F29BFD4" w14:textId="77777777" w:rsidR="003A67A8" w:rsidRPr="00DE377F" w:rsidRDefault="003A67A8" w:rsidP="00515D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312" w:type="dxa"/>
          </w:tcPr>
          <w:p w14:paraId="6FB0E5C1" w14:textId="77777777" w:rsidR="003A67A8" w:rsidRPr="00DE377F" w:rsidRDefault="003A67A8" w:rsidP="00515DA3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 w:rsidR="00274AF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II)</w:t>
            </w:r>
          </w:p>
        </w:tc>
        <w:tc>
          <w:tcPr>
            <w:tcW w:w="2268" w:type="dxa"/>
          </w:tcPr>
          <w:p w14:paraId="706B10BA" w14:textId="77777777" w:rsidR="003A67A8" w:rsidRPr="00DE377F" w:rsidRDefault="003A67A8" w:rsidP="00515DA3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 w:rsidR="00274AF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III)</w:t>
            </w:r>
          </w:p>
        </w:tc>
        <w:tc>
          <w:tcPr>
            <w:tcW w:w="2049" w:type="dxa"/>
            <w:hideMark/>
          </w:tcPr>
          <w:p w14:paraId="566D93E6" w14:textId="77777777" w:rsidR="003A67A8" w:rsidRPr="00DE377F" w:rsidRDefault="003A67A8" w:rsidP="00515D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(NUTS IV)</w:t>
            </w:r>
          </w:p>
        </w:tc>
        <w:tc>
          <w:tcPr>
            <w:tcW w:w="2062" w:type="dxa"/>
          </w:tcPr>
          <w:p w14:paraId="44CFC0C9" w14:textId="77777777" w:rsidR="003A67A8" w:rsidRPr="00DE377F" w:rsidRDefault="003A67A8" w:rsidP="00515D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Obec</w:t>
            </w:r>
          </w:p>
        </w:tc>
      </w:tr>
      <w:tr w:rsidR="003A67A8" w:rsidRPr="00DE377F" w14:paraId="424053E4" w14:textId="77777777" w:rsidTr="00C64948">
        <w:trPr>
          <w:trHeight w:val="326"/>
        </w:trPr>
        <w:tc>
          <w:tcPr>
            <w:tcW w:w="631" w:type="dxa"/>
            <w:hideMark/>
          </w:tcPr>
          <w:p w14:paraId="033838EF" w14:textId="77777777" w:rsidR="003A67A8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SR</w:t>
            </w:r>
          </w:p>
        </w:tc>
        <w:tc>
          <w:tcPr>
            <w:tcW w:w="2312" w:type="dxa"/>
          </w:tcPr>
          <w:p w14:paraId="1EECD45C" w14:textId="77777777" w:rsidR="003A67A8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Západné Slovensko</w:t>
            </w:r>
          </w:p>
        </w:tc>
        <w:tc>
          <w:tcPr>
            <w:tcW w:w="2268" w:type="dxa"/>
          </w:tcPr>
          <w:p w14:paraId="7E9B955A" w14:textId="795E5456" w:rsidR="00BB3261" w:rsidRDefault="00BB3261" w:rsidP="0063473E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Bratislavský*</w:t>
            </w:r>
          </w:p>
          <w:p w14:paraId="31BD9CED" w14:textId="594BD0F3" w:rsidR="005D0AE5" w:rsidRDefault="005D0AE5" w:rsidP="0063473E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Trnavsk</w:t>
            </w:r>
            <w:r>
              <w:rPr>
                <w:bCs/>
                <w:szCs w:val="24"/>
              </w:rPr>
              <w:t>ý kraj</w:t>
            </w:r>
          </w:p>
          <w:p w14:paraId="5239F40F" w14:textId="4C9BEDD1" w:rsidR="005D0AE5" w:rsidRDefault="005D0AE5" w:rsidP="0063473E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Trenčiansky kraj</w:t>
            </w:r>
          </w:p>
          <w:p w14:paraId="1454B3A0" w14:textId="77777777" w:rsidR="003A67A8" w:rsidRPr="00144649" w:rsidRDefault="005D0AE5" w:rsidP="0063473E">
            <w:pPr>
              <w:jc w:val="center"/>
              <w:rPr>
                <w:bCs/>
              </w:rPr>
            </w:pPr>
            <w:r w:rsidRPr="00006172">
              <w:rPr>
                <w:bCs/>
                <w:szCs w:val="24"/>
              </w:rPr>
              <w:t>Nitriansky</w:t>
            </w:r>
            <w:r>
              <w:rPr>
                <w:bCs/>
                <w:szCs w:val="24"/>
              </w:rPr>
              <w:t xml:space="preserve"> kraj</w:t>
            </w:r>
          </w:p>
        </w:tc>
        <w:tc>
          <w:tcPr>
            <w:tcW w:w="2049" w:type="dxa"/>
          </w:tcPr>
          <w:p w14:paraId="107BC23E" w14:textId="32D650F8" w:rsidR="003A67A8" w:rsidRPr="00144649" w:rsidRDefault="003A67A8" w:rsidP="00DE377F">
            <w:pPr>
              <w:rPr>
                <w:bCs/>
              </w:rPr>
            </w:pPr>
          </w:p>
        </w:tc>
        <w:tc>
          <w:tcPr>
            <w:tcW w:w="2062" w:type="dxa"/>
          </w:tcPr>
          <w:p w14:paraId="76D77214" w14:textId="62ECF8F5" w:rsidR="003A67A8" w:rsidRPr="00144649" w:rsidRDefault="003A67A8" w:rsidP="00340992">
            <w:pPr>
              <w:rPr>
                <w:bCs/>
              </w:rPr>
            </w:pPr>
          </w:p>
        </w:tc>
      </w:tr>
      <w:tr w:rsidR="00304BD2" w:rsidRPr="00DE377F" w14:paraId="2737128D" w14:textId="77777777" w:rsidTr="00C64948">
        <w:trPr>
          <w:trHeight w:val="326"/>
        </w:trPr>
        <w:tc>
          <w:tcPr>
            <w:tcW w:w="631" w:type="dxa"/>
          </w:tcPr>
          <w:p w14:paraId="38DF1796" w14:textId="77777777" w:rsidR="00304BD2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SR</w:t>
            </w:r>
          </w:p>
        </w:tc>
        <w:tc>
          <w:tcPr>
            <w:tcW w:w="2312" w:type="dxa"/>
          </w:tcPr>
          <w:p w14:paraId="6198B373" w14:textId="77777777" w:rsidR="00304BD2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Stredné Slovensko</w:t>
            </w:r>
          </w:p>
        </w:tc>
        <w:tc>
          <w:tcPr>
            <w:tcW w:w="2268" w:type="dxa"/>
          </w:tcPr>
          <w:p w14:paraId="3A293A70" w14:textId="77777777" w:rsidR="00304BD2" w:rsidRPr="00144649" w:rsidRDefault="00144649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Banskobystrický</w:t>
            </w:r>
            <w:r w:rsidR="007E2B37">
              <w:rPr>
                <w:bCs/>
              </w:rPr>
              <w:t xml:space="preserve"> kraj</w:t>
            </w:r>
          </w:p>
          <w:p w14:paraId="5AB3B799" w14:textId="77777777" w:rsidR="00144649" w:rsidRPr="00144649" w:rsidRDefault="00144649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Žilinský</w:t>
            </w:r>
            <w:r w:rsidR="007E2B37">
              <w:rPr>
                <w:bCs/>
              </w:rPr>
              <w:t xml:space="preserve"> kraj</w:t>
            </w:r>
          </w:p>
        </w:tc>
        <w:tc>
          <w:tcPr>
            <w:tcW w:w="2049" w:type="dxa"/>
          </w:tcPr>
          <w:p w14:paraId="3B974B6A" w14:textId="3817B80E" w:rsidR="00304BD2" w:rsidRPr="00144649" w:rsidRDefault="00304BD2" w:rsidP="00C30F6D">
            <w:pPr>
              <w:rPr>
                <w:bCs/>
              </w:rPr>
            </w:pPr>
          </w:p>
        </w:tc>
        <w:tc>
          <w:tcPr>
            <w:tcW w:w="2062" w:type="dxa"/>
          </w:tcPr>
          <w:p w14:paraId="3634EB63" w14:textId="00FCBDE4" w:rsidR="00304BD2" w:rsidRPr="00144649" w:rsidRDefault="00304BD2" w:rsidP="00C30F6D">
            <w:pPr>
              <w:rPr>
                <w:bCs/>
              </w:rPr>
            </w:pPr>
          </w:p>
        </w:tc>
      </w:tr>
      <w:tr w:rsidR="00304BD2" w:rsidRPr="00DE377F" w14:paraId="1D15BC76" w14:textId="77777777" w:rsidTr="00C64948">
        <w:trPr>
          <w:trHeight w:val="326"/>
        </w:trPr>
        <w:tc>
          <w:tcPr>
            <w:tcW w:w="631" w:type="dxa"/>
          </w:tcPr>
          <w:p w14:paraId="06CF800C" w14:textId="77777777" w:rsidR="00304BD2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SR</w:t>
            </w:r>
          </w:p>
        </w:tc>
        <w:tc>
          <w:tcPr>
            <w:tcW w:w="2312" w:type="dxa"/>
          </w:tcPr>
          <w:p w14:paraId="616FF126" w14:textId="77777777" w:rsidR="00304BD2" w:rsidRPr="00144649" w:rsidRDefault="00304BD2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Východné Slovensko</w:t>
            </w:r>
          </w:p>
        </w:tc>
        <w:tc>
          <w:tcPr>
            <w:tcW w:w="2268" w:type="dxa"/>
          </w:tcPr>
          <w:p w14:paraId="1E831FC4" w14:textId="77777777" w:rsidR="007E2B37" w:rsidRDefault="00144649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Košický</w:t>
            </w:r>
            <w:r w:rsidR="007E2B37">
              <w:rPr>
                <w:bCs/>
              </w:rPr>
              <w:t xml:space="preserve"> kraj</w:t>
            </w:r>
          </w:p>
          <w:p w14:paraId="27665754" w14:textId="77777777" w:rsidR="00304BD2" w:rsidRPr="00144649" w:rsidRDefault="00144649" w:rsidP="0063473E">
            <w:pPr>
              <w:jc w:val="center"/>
              <w:rPr>
                <w:bCs/>
              </w:rPr>
            </w:pPr>
            <w:r w:rsidRPr="00144649">
              <w:rPr>
                <w:bCs/>
              </w:rPr>
              <w:t>Prešovský</w:t>
            </w:r>
            <w:r w:rsidR="007E2B37">
              <w:rPr>
                <w:bCs/>
              </w:rPr>
              <w:t xml:space="preserve"> kraj</w:t>
            </w:r>
          </w:p>
        </w:tc>
        <w:tc>
          <w:tcPr>
            <w:tcW w:w="2049" w:type="dxa"/>
          </w:tcPr>
          <w:p w14:paraId="1C31030A" w14:textId="7B0D8E45" w:rsidR="00304BD2" w:rsidRPr="00144649" w:rsidRDefault="00304BD2" w:rsidP="00C30F6D">
            <w:pPr>
              <w:rPr>
                <w:bCs/>
              </w:rPr>
            </w:pPr>
          </w:p>
        </w:tc>
        <w:tc>
          <w:tcPr>
            <w:tcW w:w="2062" w:type="dxa"/>
          </w:tcPr>
          <w:p w14:paraId="1F4E6217" w14:textId="5217E0FB" w:rsidR="00304BD2" w:rsidRPr="00144649" w:rsidRDefault="00304BD2" w:rsidP="00C30F6D">
            <w:pPr>
              <w:rPr>
                <w:bCs/>
              </w:rPr>
            </w:pPr>
          </w:p>
        </w:tc>
      </w:tr>
    </w:tbl>
    <w:p w14:paraId="65EBC5DE" w14:textId="791EE28F" w:rsidR="00BB3261" w:rsidRDefault="00BB3261" w:rsidP="00DA743F">
      <w:pPr>
        <w:spacing w:after="0" w:line="240" w:lineRule="auto"/>
        <w:rPr>
          <w:sz w:val="20"/>
          <w:szCs w:val="20"/>
        </w:rPr>
      </w:pPr>
      <w:r>
        <w:t xml:space="preserve">* </w:t>
      </w:r>
      <w:r w:rsidR="005947C0" w:rsidRPr="00DA743F">
        <w:rPr>
          <w:sz w:val="20"/>
          <w:szCs w:val="20"/>
        </w:rPr>
        <w:t>V</w:t>
      </w:r>
      <w:r w:rsidRPr="00DA743F">
        <w:rPr>
          <w:sz w:val="20"/>
          <w:szCs w:val="20"/>
        </w:rPr>
        <w:t xml:space="preserve"> prípade realizácie aktivít D, E, F špecifického cieľa 4.4.1, ktoré zasahujú svojím účinkom celé územie SR sa oprávnenosť výdavkov týchto aktivít pomerne (pro rata) znižuje, keďže územie Bratislavského kraja nie je oprávnené na podporu z EFRR pre menej rozvinuté regióny.</w:t>
      </w:r>
    </w:p>
    <w:p w14:paraId="3B43CD7D" w14:textId="77777777" w:rsidR="00DA743F" w:rsidRPr="00DA743F" w:rsidRDefault="00DA743F" w:rsidP="00C64948">
      <w:pPr>
        <w:spacing w:after="18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DE377F" w14:paraId="699D49A2" w14:textId="77777777" w:rsidTr="00C64948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2112CF09" w14:textId="30E67EF0" w:rsidR="00DE377F" w:rsidRPr="00DE377F" w:rsidRDefault="00DE377F" w:rsidP="00515DA3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7. </w:t>
            </w:r>
            <w:r w:rsidR="009F7F4C">
              <w:rPr>
                <w:b/>
                <w:bCs/>
              </w:rPr>
              <w:t>O</w:t>
            </w:r>
            <w:r w:rsidRPr="00DE377F">
              <w:rPr>
                <w:b/>
                <w:bCs/>
              </w:rPr>
              <w:t>pis projektu</w:t>
            </w:r>
          </w:p>
        </w:tc>
      </w:tr>
      <w:tr w:rsidR="00AF6D51" w:rsidRPr="00DE377F" w14:paraId="012B3669" w14:textId="77777777" w:rsidTr="00C64948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521EC2FD" w14:textId="77777777" w:rsidR="00AF6D51" w:rsidRPr="00AF6D51" w:rsidRDefault="00AF6D51" w:rsidP="009F7F4C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opis projektu</w:t>
            </w:r>
          </w:p>
        </w:tc>
      </w:tr>
      <w:tr w:rsidR="00346F2F" w:rsidRPr="00DE377F" w14:paraId="7B85029C" w14:textId="77777777" w:rsidTr="00C64948">
        <w:trPr>
          <w:trHeight w:val="330"/>
        </w:trPr>
        <w:tc>
          <w:tcPr>
            <w:tcW w:w="9322" w:type="dxa"/>
            <w:shd w:val="clear" w:color="auto" w:fill="auto"/>
          </w:tcPr>
          <w:p w14:paraId="78ADDCDB" w14:textId="77777777" w:rsidR="00050160" w:rsidRPr="0033242B" w:rsidRDefault="00050160" w:rsidP="00050160">
            <w:pPr>
              <w:pStyle w:val="Odsekzoznamu"/>
              <w:numPr>
                <w:ilvl w:val="0"/>
                <w:numId w:val="17"/>
              </w:numPr>
              <w:rPr>
                <w:b/>
                <w:u w:val="single"/>
              </w:rPr>
            </w:pPr>
            <w:r w:rsidRPr="0033242B">
              <w:rPr>
                <w:b/>
                <w:u w:val="single"/>
              </w:rPr>
              <w:t>Opis východiskovej situácie:</w:t>
            </w:r>
          </w:p>
          <w:p w14:paraId="40FEAEA0" w14:textId="319C9E63" w:rsidR="00050160" w:rsidRDefault="00050160" w:rsidP="00050160">
            <w:r w:rsidRPr="000F4C4E">
              <w:t xml:space="preserve">MSEE je informačný systém, ktorý je zameraný na zber (zber údajov prebieha elektronicky prostredníctvom zabezpečenej internetovej stránky) a vyhodnocovanie údajov o spotrebe energií v nadväznosti na vykonané energetické opatrenia energetickej efektívnosti. MSEE je prevádzkovaný SIEA a údaje do MSEE poskytujú ústredné orgány štátnej správy, samosprávy, vlastníci alebo správcovia veľkých budov, energetické audítori, obchodné energetické spoločnosti, prevádzkovatelia rozvodov energií i energetických médií. </w:t>
            </w:r>
            <w:r w:rsidR="007C68EA">
              <w:t>Niektoré údaje monitorovania nezadávané do MSEE sú osobitne vyhodnocované zamestnancami SIEA a poskytované ako doplnkové údaje v rámci monitorovania energetickej efektívnosti.</w:t>
            </w:r>
            <w:r w:rsidRPr="000F4C4E">
              <w:t xml:space="preserve"> </w:t>
            </w:r>
          </w:p>
          <w:p w14:paraId="3B3A931E" w14:textId="77777777" w:rsidR="00377856" w:rsidRPr="000F4C4E" w:rsidRDefault="00377856" w:rsidP="00050160"/>
          <w:p w14:paraId="4750E51C" w14:textId="3157EF08" w:rsidR="00022D25" w:rsidRPr="0033242B" w:rsidRDefault="00022D25" w:rsidP="0033242B">
            <w:pPr>
              <w:pStyle w:val="Odsekzoznamu"/>
              <w:numPr>
                <w:ilvl w:val="0"/>
                <w:numId w:val="17"/>
              </w:numPr>
              <w:rPr>
                <w:b/>
                <w:szCs w:val="24"/>
                <w:u w:val="single"/>
              </w:rPr>
            </w:pPr>
            <w:r w:rsidRPr="0033242B">
              <w:rPr>
                <w:b/>
                <w:u w:val="single"/>
              </w:rPr>
              <w:t>Ciele projektu:</w:t>
            </w:r>
          </w:p>
          <w:p w14:paraId="71D30D18" w14:textId="6A44DA41" w:rsidR="00BF0800" w:rsidRPr="000F4C4E" w:rsidRDefault="00BF0800" w:rsidP="0033242B">
            <w:pPr>
              <w:rPr>
                <w:szCs w:val="24"/>
              </w:rPr>
            </w:pPr>
            <w:r w:rsidRPr="000F4C4E">
              <w:rPr>
                <w:szCs w:val="24"/>
              </w:rPr>
              <w:t>Cieľom projektu je </w:t>
            </w:r>
            <w:r w:rsidR="00DF5D95" w:rsidRPr="000F4C4E">
              <w:rPr>
                <w:szCs w:val="24"/>
                <w:u w:val="single"/>
              </w:rPr>
              <w:t xml:space="preserve">rozšírenie monitorovania a </w:t>
            </w:r>
            <w:r w:rsidR="00FA7F57" w:rsidRPr="000F4C4E">
              <w:rPr>
                <w:szCs w:val="24"/>
                <w:u w:val="single"/>
              </w:rPr>
              <w:t>vytvorenie</w:t>
            </w:r>
            <w:r w:rsidRPr="000F4C4E">
              <w:rPr>
                <w:szCs w:val="24"/>
                <w:u w:val="single"/>
              </w:rPr>
              <w:t xml:space="preserve"> nových funkcionalít</w:t>
            </w:r>
            <w:r w:rsidRPr="000F4C4E">
              <w:rPr>
                <w:szCs w:val="24"/>
              </w:rPr>
              <w:t xml:space="preserve"> zameraných na elektronický zber, analýzu a vyhodnotenie údajov o spotrebe </w:t>
            </w:r>
            <w:r w:rsidR="00F029D4" w:rsidRPr="000F4C4E">
              <w:rPr>
                <w:szCs w:val="24"/>
              </w:rPr>
              <w:t xml:space="preserve">energií pri súčasnej </w:t>
            </w:r>
            <w:r w:rsidR="00F029D4" w:rsidRPr="000F4C4E">
              <w:rPr>
                <w:szCs w:val="24"/>
              </w:rPr>
              <w:lastRenderedPageBreak/>
              <w:t>minimalizácii administratívnej náročnosti na strane poskytovateľov údajov aj spracovania údajov.</w:t>
            </w:r>
          </w:p>
          <w:p w14:paraId="0AA5123F" w14:textId="77777777" w:rsidR="006D02DA" w:rsidRPr="000F4C4E" w:rsidRDefault="006D02DA" w:rsidP="0033242B">
            <w:pPr>
              <w:rPr>
                <w:szCs w:val="24"/>
              </w:rPr>
            </w:pPr>
          </w:p>
          <w:p w14:paraId="79B99FF9" w14:textId="68B5DDF8" w:rsidR="006E3DC4" w:rsidRPr="000F4C4E" w:rsidRDefault="006E3DC4" w:rsidP="0033242B">
            <w:pPr>
              <w:rPr>
                <w:szCs w:val="24"/>
              </w:rPr>
            </w:pPr>
            <w:r w:rsidRPr="000F4C4E">
              <w:rPr>
                <w:szCs w:val="24"/>
              </w:rPr>
              <w:t xml:space="preserve">Rozšírenie </w:t>
            </w:r>
            <w:r w:rsidR="007C68EA">
              <w:rPr>
                <w:szCs w:val="24"/>
              </w:rPr>
              <w:t>monitorovania najmä cez MSEE</w:t>
            </w:r>
            <w:r w:rsidR="007C68EA" w:rsidRPr="000F4C4E">
              <w:rPr>
                <w:szCs w:val="24"/>
              </w:rPr>
              <w:t xml:space="preserve"> </w:t>
            </w:r>
            <w:r w:rsidRPr="000F4C4E">
              <w:rPr>
                <w:szCs w:val="24"/>
              </w:rPr>
              <w:t>bude zamerané aj na možnosť priameho prístupu zástupcov riadiacich a sprostredkovateľských orgánov do systému a zdokonalenie verifikácie vkladaných údajov zo strany prevádzkovateľa, ako aj vytvorenie možnosti importu a exportu údajov medzi inými relevantnými systémami.</w:t>
            </w:r>
          </w:p>
          <w:p w14:paraId="613B1049" w14:textId="77777777" w:rsidR="006E3DC4" w:rsidRPr="000F4C4E" w:rsidRDefault="006E3DC4" w:rsidP="0031484B">
            <w:pPr>
              <w:rPr>
                <w:szCs w:val="24"/>
              </w:rPr>
            </w:pPr>
          </w:p>
          <w:p w14:paraId="31ECB209" w14:textId="1E1E2B5B" w:rsidR="00300710" w:rsidRPr="000F4C4E" w:rsidRDefault="00460EA0" w:rsidP="000B0D94">
            <w:pPr>
              <w:rPr>
                <w:szCs w:val="24"/>
              </w:rPr>
            </w:pPr>
            <w:r w:rsidRPr="000F4C4E">
              <w:rPr>
                <w:szCs w:val="24"/>
              </w:rPr>
              <w:t xml:space="preserve">Nové funkcionality </w:t>
            </w:r>
            <w:r w:rsidR="00FA7F57" w:rsidRPr="000F4C4E">
              <w:rPr>
                <w:szCs w:val="24"/>
              </w:rPr>
              <w:t xml:space="preserve">pre monitorovanie </w:t>
            </w:r>
            <w:r w:rsidRPr="000F4C4E">
              <w:rPr>
                <w:szCs w:val="24"/>
              </w:rPr>
              <w:t>budú zamerané aj na zníženie administratívneho zaťaženia na strane prevádzkovateľa MSEE</w:t>
            </w:r>
            <w:r w:rsidR="00FA7F57" w:rsidRPr="000F4C4E">
              <w:rPr>
                <w:szCs w:val="24"/>
              </w:rPr>
              <w:t xml:space="preserve">, </w:t>
            </w:r>
            <w:r w:rsidRPr="000F4C4E">
              <w:rPr>
                <w:szCs w:val="24"/>
              </w:rPr>
              <w:t>aj na strane poskytovateľov údajov.</w:t>
            </w:r>
            <w:r w:rsidR="003C14CE" w:rsidRPr="000F4C4E">
              <w:rPr>
                <w:szCs w:val="24"/>
              </w:rPr>
              <w:t xml:space="preserve"> </w:t>
            </w:r>
            <w:r w:rsidR="007C68EA">
              <w:rPr>
                <w:szCs w:val="24"/>
              </w:rPr>
              <w:t>Zároveň sa u</w:t>
            </w:r>
            <w:r w:rsidRPr="000F4C4E">
              <w:rPr>
                <w:szCs w:val="24"/>
              </w:rPr>
              <w:t xml:space="preserve">možní poskytovateľom komplexnejší pohľad na ich </w:t>
            </w:r>
            <w:r w:rsidR="003C14CE" w:rsidRPr="000F4C4E">
              <w:rPr>
                <w:szCs w:val="24"/>
              </w:rPr>
              <w:t>monitorované údaje</w:t>
            </w:r>
            <w:r w:rsidRPr="000F4C4E">
              <w:rPr>
                <w:szCs w:val="24"/>
              </w:rPr>
              <w:t xml:space="preserve"> za predchádzajúce obdobia s možnosťou </w:t>
            </w:r>
            <w:r w:rsidR="003C14CE" w:rsidRPr="000F4C4E">
              <w:rPr>
                <w:szCs w:val="24"/>
              </w:rPr>
              <w:t>porovnania s priemernými hodnotami a</w:t>
            </w:r>
            <w:r w:rsidR="007C68EA">
              <w:rPr>
                <w:szCs w:val="24"/>
              </w:rPr>
              <w:t> </w:t>
            </w:r>
            <w:r w:rsidR="00300710" w:rsidRPr="000F4C4E">
              <w:rPr>
                <w:szCs w:val="24"/>
              </w:rPr>
              <w:t>ponúkne</w:t>
            </w:r>
            <w:r w:rsidR="007C68EA">
              <w:rPr>
                <w:szCs w:val="24"/>
              </w:rPr>
              <w:t xml:space="preserve"> im aj </w:t>
            </w:r>
            <w:r w:rsidR="00300710" w:rsidRPr="000F4C4E">
              <w:rPr>
                <w:szCs w:val="24"/>
              </w:rPr>
              <w:t xml:space="preserve"> </w:t>
            </w:r>
            <w:r w:rsidR="003C14CE" w:rsidRPr="000F4C4E">
              <w:rPr>
                <w:szCs w:val="24"/>
              </w:rPr>
              <w:t xml:space="preserve">iné funkcionality </w:t>
            </w:r>
            <w:r w:rsidR="000F4C4E">
              <w:rPr>
                <w:szCs w:val="24"/>
              </w:rPr>
              <w:t xml:space="preserve"> </w:t>
            </w:r>
            <w:r w:rsidR="00300710" w:rsidRPr="000F4C4E">
              <w:rPr>
                <w:szCs w:val="24"/>
              </w:rPr>
              <w:t>s</w:t>
            </w:r>
            <w:r w:rsidR="003C14CE" w:rsidRPr="000F4C4E">
              <w:rPr>
                <w:szCs w:val="24"/>
              </w:rPr>
              <w:t xml:space="preserve"> </w:t>
            </w:r>
            <w:r w:rsidRPr="000F4C4E">
              <w:rPr>
                <w:szCs w:val="24"/>
              </w:rPr>
              <w:t>pridan</w:t>
            </w:r>
            <w:r w:rsidR="00300710" w:rsidRPr="000F4C4E">
              <w:rPr>
                <w:szCs w:val="24"/>
              </w:rPr>
              <w:t>ou</w:t>
            </w:r>
            <w:r w:rsidRPr="000F4C4E">
              <w:rPr>
                <w:szCs w:val="24"/>
              </w:rPr>
              <w:t xml:space="preserve"> hodnot</w:t>
            </w:r>
            <w:r w:rsidR="00300710" w:rsidRPr="000F4C4E">
              <w:rPr>
                <w:szCs w:val="24"/>
              </w:rPr>
              <w:t>o</w:t>
            </w:r>
            <w:r w:rsidR="003C14CE" w:rsidRPr="000F4C4E">
              <w:rPr>
                <w:szCs w:val="24"/>
              </w:rPr>
              <w:t>u</w:t>
            </w:r>
            <w:r w:rsidR="00335FF6">
              <w:rPr>
                <w:szCs w:val="24"/>
              </w:rPr>
              <w:t xml:space="preserve"> </w:t>
            </w:r>
            <w:r w:rsidR="007C68EA">
              <w:rPr>
                <w:szCs w:val="24"/>
              </w:rPr>
              <w:t xml:space="preserve">aj pre iné oprávnené subjekty. </w:t>
            </w:r>
          </w:p>
          <w:p w14:paraId="6076E43A" w14:textId="77777777" w:rsidR="00300710" w:rsidRPr="000F4C4E" w:rsidRDefault="00300710" w:rsidP="0031484B">
            <w:pPr>
              <w:rPr>
                <w:szCs w:val="24"/>
              </w:rPr>
            </w:pPr>
          </w:p>
          <w:p w14:paraId="4C1E608F" w14:textId="343513DD" w:rsidR="0007615D" w:rsidRPr="000F4C4E" w:rsidRDefault="00300710" w:rsidP="0031484B">
            <w:pPr>
              <w:rPr>
                <w:szCs w:val="24"/>
              </w:rPr>
            </w:pPr>
            <w:r w:rsidRPr="000F4C4E">
              <w:rPr>
                <w:szCs w:val="24"/>
              </w:rPr>
              <w:t xml:space="preserve">MSEE </w:t>
            </w:r>
            <w:r w:rsidR="00FA7F57" w:rsidRPr="000F4C4E">
              <w:rPr>
                <w:szCs w:val="24"/>
              </w:rPr>
              <w:t>umožní</w:t>
            </w:r>
            <w:r w:rsidR="000B0D94" w:rsidRPr="000F4C4E">
              <w:rPr>
                <w:szCs w:val="24"/>
              </w:rPr>
              <w:t xml:space="preserve"> </w:t>
            </w:r>
            <w:r w:rsidR="009A1B15" w:rsidRPr="000F4C4E">
              <w:rPr>
                <w:szCs w:val="24"/>
              </w:rPr>
              <w:t>vyhodnocova</w:t>
            </w:r>
            <w:r w:rsidR="000B0D94" w:rsidRPr="000F4C4E">
              <w:rPr>
                <w:szCs w:val="24"/>
              </w:rPr>
              <w:t>ni</w:t>
            </w:r>
            <w:r w:rsidR="00FA7F57" w:rsidRPr="000F4C4E">
              <w:rPr>
                <w:szCs w:val="24"/>
              </w:rPr>
              <w:t>e</w:t>
            </w:r>
            <w:r w:rsidR="009A1B15" w:rsidRPr="000F4C4E">
              <w:rPr>
                <w:szCs w:val="24"/>
              </w:rPr>
              <w:t xml:space="preserve"> energetick</w:t>
            </w:r>
            <w:r w:rsidR="000B0D94" w:rsidRPr="000F4C4E">
              <w:rPr>
                <w:szCs w:val="24"/>
              </w:rPr>
              <w:t>ých</w:t>
            </w:r>
            <w:r w:rsidR="009A1B15" w:rsidRPr="000F4C4E">
              <w:rPr>
                <w:szCs w:val="24"/>
              </w:rPr>
              <w:t xml:space="preserve">, </w:t>
            </w:r>
            <w:r w:rsidR="000B0D94" w:rsidRPr="000F4C4E">
              <w:rPr>
                <w:szCs w:val="24"/>
              </w:rPr>
              <w:t>ekonomických</w:t>
            </w:r>
            <w:r w:rsidR="009A1B15" w:rsidRPr="000F4C4E">
              <w:rPr>
                <w:szCs w:val="24"/>
              </w:rPr>
              <w:t>, enviro</w:t>
            </w:r>
            <w:r w:rsidR="00F77DB8" w:rsidRPr="000F4C4E">
              <w:rPr>
                <w:szCs w:val="24"/>
              </w:rPr>
              <w:t>n</w:t>
            </w:r>
            <w:r w:rsidR="009A1B15" w:rsidRPr="000F4C4E">
              <w:rPr>
                <w:szCs w:val="24"/>
              </w:rPr>
              <w:t>mentáln</w:t>
            </w:r>
            <w:r w:rsidR="000B0D94" w:rsidRPr="000F4C4E">
              <w:rPr>
                <w:szCs w:val="24"/>
              </w:rPr>
              <w:t>ych</w:t>
            </w:r>
            <w:r w:rsidR="009A1B15" w:rsidRPr="000F4C4E">
              <w:rPr>
                <w:szCs w:val="24"/>
              </w:rPr>
              <w:t xml:space="preserve"> prínos</w:t>
            </w:r>
            <w:r w:rsidR="000B0D94" w:rsidRPr="000F4C4E">
              <w:rPr>
                <w:szCs w:val="24"/>
              </w:rPr>
              <w:t>ov</w:t>
            </w:r>
            <w:r w:rsidR="00CA5C42" w:rsidRPr="000F4C4E">
              <w:rPr>
                <w:szCs w:val="24"/>
              </w:rPr>
              <w:t xml:space="preserve">, ako aj </w:t>
            </w:r>
            <w:r w:rsidR="007C68EA">
              <w:rPr>
                <w:szCs w:val="24"/>
              </w:rPr>
              <w:t xml:space="preserve">spracovanie </w:t>
            </w:r>
            <w:r w:rsidR="00CA5C42" w:rsidRPr="000F4C4E">
              <w:rPr>
                <w:szCs w:val="24"/>
              </w:rPr>
              <w:t>výstupov pre analýz</w:t>
            </w:r>
            <w:r w:rsidR="007C68EA">
              <w:rPr>
                <w:szCs w:val="24"/>
              </w:rPr>
              <w:t>y</w:t>
            </w:r>
            <w:r w:rsidR="009A1B15" w:rsidRPr="000F4C4E">
              <w:rPr>
                <w:szCs w:val="24"/>
              </w:rPr>
              <w:t xml:space="preserve"> po jednotlivých o</w:t>
            </w:r>
            <w:r w:rsidR="007C68EA">
              <w:rPr>
                <w:szCs w:val="24"/>
              </w:rPr>
              <w:t>blastiach</w:t>
            </w:r>
            <w:r w:rsidR="00CA5C42" w:rsidRPr="000F4C4E">
              <w:rPr>
                <w:szCs w:val="24"/>
              </w:rPr>
              <w:t xml:space="preserve">. Analytické funkcionality umožnia </w:t>
            </w:r>
            <w:r w:rsidR="009A1B15" w:rsidRPr="000F4C4E">
              <w:rPr>
                <w:szCs w:val="24"/>
              </w:rPr>
              <w:t>vzájomn</w:t>
            </w:r>
            <w:r w:rsidR="00CA5C42" w:rsidRPr="000F4C4E">
              <w:rPr>
                <w:szCs w:val="24"/>
              </w:rPr>
              <w:t>é</w:t>
            </w:r>
            <w:r w:rsidR="009A1B15" w:rsidRPr="000F4C4E">
              <w:rPr>
                <w:szCs w:val="24"/>
              </w:rPr>
              <w:t xml:space="preserve"> porovná</w:t>
            </w:r>
            <w:r w:rsidR="00CA5C42" w:rsidRPr="000F4C4E">
              <w:rPr>
                <w:szCs w:val="24"/>
              </w:rPr>
              <w:t>vanie</w:t>
            </w:r>
            <w:r w:rsidR="009A1B15" w:rsidRPr="000F4C4E">
              <w:rPr>
                <w:szCs w:val="24"/>
              </w:rPr>
              <w:t xml:space="preserve"> </w:t>
            </w:r>
            <w:r w:rsidR="00CA5C42" w:rsidRPr="000F4C4E">
              <w:rPr>
                <w:szCs w:val="24"/>
              </w:rPr>
              <w:t xml:space="preserve">agregovaných údajov jednotlivých monitorovaných oblastí napríklad pre potreby vyhodnotenia </w:t>
            </w:r>
            <w:r w:rsidR="00E62D46" w:rsidRPr="000F4C4E">
              <w:rPr>
                <w:szCs w:val="24"/>
              </w:rPr>
              <w:t>a</w:t>
            </w:r>
            <w:r w:rsidR="009A1B15" w:rsidRPr="000F4C4E">
              <w:rPr>
                <w:szCs w:val="24"/>
              </w:rPr>
              <w:t>kčn</w:t>
            </w:r>
            <w:r w:rsidR="00CA5C42" w:rsidRPr="000F4C4E">
              <w:rPr>
                <w:szCs w:val="24"/>
              </w:rPr>
              <w:t>ých</w:t>
            </w:r>
            <w:r w:rsidR="009A1B15" w:rsidRPr="000F4C4E">
              <w:rPr>
                <w:szCs w:val="24"/>
              </w:rPr>
              <w:t xml:space="preserve"> plán</w:t>
            </w:r>
            <w:r w:rsidR="00CA5C42" w:rsidRPr="000F4C4E">
              <w:rPr>
                <w:szCs w:val="24"/>
              </w:rPr>
              <w:t>ov</w:t>
            </w:r>
            <w:r w:rsidR="0007615D" w:rsidRPr="000F4C4E">
              <w:rPr>
                <w:szCs w:val="24"/>
              </w:rPr>
              <w:t xml:space="preserve"> (AP)</w:t>
            </w:r>
            <w:r w:rsidR="009A1B15" w:rsidRPr="000F4C4E">
              <w:rPr>
                <w:szCs w:val="24"/>
              </w:rPr>
              <w:t xml:space="preserve">. </w:t>
            </w:r>
            <w:r w:rsidR="0007615D" w:rsidRPr="000F4C4E">
              <w:rPr>
                <w:szCs w:val="24"/>
              </w:rPr>
              <w:t>Sledovanie dosahovania cieľa AP bude na medziročnej báze.</w:t>
            </w:r>
            <w:r w:rsidR="00C82CD9" w:rsidRPr="000F4C4E">
              <w:rPr>
                <w:szCs w:val="24"/>
              </w:rPr>
              <w:t xml:space="preserve"> MSEE </w:t>
            </w:r>
            <w:r w:rsidR="006152E3" w:rsidRPr="000F4C4E">
              <w:rPr>
                <w:szCs w:val="24"/>
              </w:rPr>
              <w:t xml:space="preserve">sa </w:t>
            </w:r>
            <w:r w:rsidR="00C82CD9" w:rsidRPr="000F4C4E">
              <w:rPr>
                <w:szCs w:val="24"/>
              </w:rPr>
              <w:t xml:space="preserve">rozšíri </w:t>
            </w:r>
            <w:r w:rsidR="006152E3" w:rsidRPr="000F4C4E">
              <w:rPr>
                <w:szCs w:val="24"/>
              </w:rPr>
              <w:t xml:space="preserve">aj </w:t>
            </w:r>
            <w:r w:rsidR="00C82CD9" w:rsidRPr="000F4C4E">
              <w:rPr>
                <w:szCs w:val="24"/>
              </w:rPr>
              <w:t xml:space="preserve">o prepočet úspory </w:t>
            </w:r>
            <w:r w:rsidR="006152E3" w:rsidRPr="000F4C4E">
              <w:rPr>
                <w:szCs w:val="24"/>
              </w:rPr>
              <w:t xml:space="preserve">primárnej </w:t>
            </w:r>
            <w:r w:rsidR="00C82CD9" w:rsidRPr="000F4C4E">
              <w:rPr>
                <w:szCs w:val="24"/>
              </w:rPr>
              <w:t>energie</w:t>
            </w:r>
            <w:r w:rsidR="006152E3" w:rsidRPr="000F4C4E">
              <w:rPr>
                <w:szCs w:val="24"/>
              </w:rPr>
              <w:t>.</w:t>
            </w:r>
            <w:r w:rsidR="00C82CD9" w:rsidRPr="000F4C4E">
              <w:rPr>
                <w:szCs w:val="24"/>
              </w:rPr>
              <w:t xml:space="preserve"> </w:t>
            </w:r>
          </w:p>
          <w:p w14:paraId="446B1F79" w14:textId="77777777" w:rsidR="006152E3" w:rsidRPr="000F4C4E" w:rsidRDefault="006152E3" w:rsidP="0031484B">
            <w:pPr>
              <w:rPr>
                <w:szCs w:val="24"/>
              </w:rPr>
            </w:pPr>
          </w:p>
          <w:p w14:paraId="5CA33069" w14:textId="2505DA4B" w:rsidR="00CF582D" w:rsidRPr="002F393A" w:rsidRDefault="0007615D" w:rsidP="007A1920">
            <w:pPr>
              <w:rPr>
                <w:b/>
                <w:bCs/>
                <w:sz w:val="18"/>
                <w:szCs w:val="18"/>
              </w:rPr>
            </w:pPr>
            <w:r w:rsidRPr="000F4C4E">
              <w:rPr>
                <w:szCs w:val="24"/>
              </w:rPr>
              <w:t xml:space="preserve">MSEE </w:t>
            </w:r>
            <w:r w:rsidR="000C59FA" w:rsidRPr="000F4C4E">
              <w:rPr>
                <w:szCs w:val="24"/>
              </w:rPr>
              <w:t>umožní</w:t>
            </w:r>
            <w:r w:rsidRPr="000F4C4E">
              <w:rPr>
                <w:szCs w:val="24"/>
              </w:rPr>
              <w:t xml:space="preserve"> </w:t>
            </w:r>
            <w:r w:rsidR="0031484B" w:rsidRPr="000F4C4E">
              <w:rPr>
                <w:szCs w:val="24"/>
              </w:rPr>
              <w:t xml:space="preserve">vyhodnocovať účinnosť finančných nástrojov na podporu </w:t>
            </w:r>
            <w:r w:rsidR="00AE167A" w:rsidRPr="000F4C4E">
              <w:rPr>
                <w:szCs w:val="24"/>
              </w:rPr>
              <w:t xml:space="preserve">jednotlivých </w:t>
            </w:r>
            <w:r w:rsidR="0031484B" w:rsidRPr="000F4C4E">
              <w:rPr>
                <w:szCs w:val="24"/>
              </w:rPr>
              <w:t xml:space="preserve"> opatrení</w:t>
            </w:r>
            <w:r w:rsidR="00AE167A" w:rsidRPr="000F4C4E">
              <w:rPr>
                <w:szCs w:val="24"/>
              </w:rPr>
              <w:t xml:space="preserve"> energetickej efektívnosti</w:t>
            </w:r>
            <w:r w:rsidR="000C59FA" w:rsidRPr="000F4C4E">
              <w:rPr>
                <w:szCs w:val="24"/>
              </w:rPr>
              <w:t>, čo prispeje k zlepšeniu investičného plánovania</w:t>
            </w:r>
            <w:r w:rsidR="00DB374A" w:rsidRPr="000F4C4E">
              <w:rPr>
                <w:szCs w:val="24"/>
              </w:rPr>
              <w:t>.</w:t>
            </w:r>
            <w:r w:rsidR="000C59FA" w:rsidRPr="000F4C4E">
              <w:rPr>
                <w:szCs w:val="24"/>
              </w:rPr>
              <w:t xml:space="preserve"> </w:t>
            </w:r>
            <w:r w:rsidR="0031484B" w:rsidRPr="000F4C4E">
              <w:rPr>
                <w:szCs w:val="24"/>
              </w:rPr>
              <w:t>Týmto</w:t>
            </w:r>
            <w:r w:rsidR="00FA7F57" w:rsidRPr="000F4C4E">
              <w:rPr>
                <w:szCs w:val="24"/>
              </w:rPr>
              <w:t xml:space="preserve"> sa</w:t>
            </w:r>
            <w:r w:rsidR="0031484B" w:rsidRPr="000F4C4E">
              <w:rPr>
                <w:szCs w:val="24"/>
              </w:rPr>
              <w:t xml:space="preserve"> </w:t>
            </w:r>
            <w:r w:rsidR="00DB374A" w:rsidRPr="000F4C4E">
              <w:rPr>
                <w:szCs w:val="24"/>
              </w:rPr>
              <w:t xml:space="preserve">prispeje aj </w:t>
            </w:r>
            <w:r w:rsidR="0031484B" w:rsidRPr="000F4C4E">
              <w:rPr>
                <w:szCs w:val="24"/>
              </w:rPr>
              <w:t>k</w:t>
            </w:r>
            <w:r w:rsidR="00DB374A" w:rsidRPr="000F4C4E">
              <w:rPr>
                <w:szCs w:val="24"/>
              </w:rPr>
              <w:t> investičnému rozhodovaniu pri projektoch energetickej efektívnosti a využitia zdrojov obnoviteľnej energie</w:t>
            </w:r>
            <w:r w:rsidR="007A1920">
              <w:rPr>
                <w:szCs w:val="24"/>
              </w:rPr>
              <w:t>,</w:t>
            </w:r>
            <w:r w:rsidR="00DB374A" w:rsidRPr="000F4C4E">
              <w:rPr>
                <w:szCs w:val="24"/>
              </w:rPr>
              <w:t xml:space="preserve"> a</w:t>
            </w:r>
            <w:r w:rsidR="007A1920">
              <w:rPr>
                <w:szCs w:val="24"/>
              </w:rPr>
              <w:t xml:space="preserve"> umožní zvážiť porovnávaním </w:t>
            </w:r>
            <w:r w:rsidR="00DB374A" w:rsidRPr="000F4C4E">
              <w:rPr>
                <w:szCs w:val="24"/>
              </w:rPr>
              <w:t xml:space="preserve"> </w:t>
            </w:r>
            <w:r w:rsidR="0031484B" w:rsidRPr="000F4C4E">
              <w:rPr>
                <w:szCs w:val="24"/>
              </w:rPr>
              <w:t>primeran</w:t>
            </w:r>
            <w:r w:rsidR="00DB374A" w:rsidRPr="000F4C4E">
              <w:rPr>
                <w:szCs w:val="24"/>
              </w:rPr>
              <w:t>osť</w:t>
            </w:r>
            <w:r w:rsidR="0031484B" w:rsidRPr="000F4C4E">
              <w:rPr>
                <w:szCs w:val="24"/>
              </w:rPr>
              <w:t xml:space="preserve"> </w:t>
            </w:r>
            <w:r w:rsidR="00DB374A" w:rsidRPr="000F4C4E">
              <w:rPr>
                <w:szCs w:val="24"/>
              </w:rPr>
              <w:t>ekonomickej návr</w:t>
            </w:r>
            <w:r w:rsidR="00FA7F57" w:rsidRPr="000F4C4E">
              <w:rPr>
                <w:szCs w:val="24"/>
              </w:rPr>
              <w:t>atnosti jednotlivých projektov.</w:t>
            </w:r>
          </w:p>
        </w:tc>
      </w:tr>
      <w:tr w:rsidR="00DE377F" w:rsidRPr="00DE377F" w14:paraId="0754AEBB" w14:textId="77777777" w:rsidTr="00C64948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38C20C0A" w14:textId="77777777" w:rsidR="00DE377F" w:rsidRPr="00DE377F" w:rsidRDefault="00AF6D51" w:rsidP="009A3A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</w:t>
            </w:r>
            <w:r w:rsidR="009A3508">
              <w:rPr>
                <w:b/>
                <w:bCs/>
              </w:rPr>
              <w:t>Rámcový opis aktivít národného projektu</w:t>
            </w:r>
          </w:p>
        </w:tc>
      </w:tr>
      <w:tr w:rsidR="00DE377F" w:rsidRPr="002F393A" w14:paraId="5137E48E" w14:textId="77777777" w:rsidTr="00C64948">
        <w:trPr>
          <w:trHeight w:val="330"/>
        </w:trPr>
        <w:tc>
          <w:tcPr>
            <w:tcW w:w="9322" w:type="dxa"/>
            <w:shd w:val="clear" w:color="auto" w:fill="auto"/>
            <w:hideMark/>
          </w:tcPr>
          <w:p w14:paraId="56C00044" w14:textId="05DB262F" w:rsidR="00474301" w:rsidRPr="007021B9" w:rsidRDefault="00474301" w:rsidP="00474301">
            <w:pPr>
              <w:rPr>
                <w:szCs w:val="24"/>
              </w:rPr>
            </w:pPr>
            <w:r w:rsidRPr="007021B9">
              <w:rPr>
                <w:szCs w:val="24"/>
              </w:rPr>
              <w:t xml:space="preserve">Národný projekt bude realizovaný prostredníctvom </w:t>
            </w:r>
            <w:r w:rsidR="00BB3261">
              <w:rPr>
                <w:szCs w:val="24"/>
              </w:rPr>
              <w:t xml:space="preserve">jednej hlavnej aktivity a </w:t>
            </w:r>
            <w:r w:rsidR="00B07497">
              <w:rPr>
                <w:szCs w:val="24"/>
              </w:rPr>
              <w:t>troch</w:t>
            </w:r>
            <w:r w:rsidRPr="007021B9">
              <w:rPr>
                <w:szCs w:val="24"/>
              </w:rPr>
              <w:t xml:space="preserve"> </w:t>
            </w:r>
            <w:r w:rsidR="00BB3261">
              <w:rPr>
                <w:szCs w:val="24"/>
              </w:rPr>
              <w:t>pod</w:t>
            </w:r>
            <w:r w:rsidRPr="007021B9">
              <w:rPr>
                <w:szCs w:val="24"/>
              </w:rPr>
              <w:t>aktivít:</w:t>
            </w:r>
          </w:p>
          <w:p w14:paraId="1ED723B8" w14:textId="77777777" w:rsidR="00DE377F" w:rsidRPr="009971F4" w:rsidRDefault="00DE377F" w:rsidP="002C4DEF">
            <w:pPr>
              <w:rPr>
                <w:szCs w:val="24"/>
              </w:rPr>
            </w:pPr>
          </w:p>
          <w:p w14:paraId="3E821CB7" w14:textId="43548FD9" w:rsidR="00BB3261" w:rsidRPr="009971F4" w:rsidRDefault="00BB3261" w:rsidP="002C4DEF">
            <w:pPr>
              <w:rPr>
                <w:b/>
                <w:szCs w:val="24"/>
              </w:rPr>
            </w:pPr>
            <w:r w:rsidRPr="009971F4">
              <w:rPr>
                <w:b/>
                <w:szCs w:val="24"/>
              </w:rPr>
              <w:t xml:space="preserve">Hlavná aktivita 1: </w:t>
            </w:r>
            <w:r w:rsidR="00392131">
              <w:rPr>
                <w:b/>
                <w:szCs w:val="24"/>
              </w:rPr>
              <w:t xml:space="preserve">Rozšírenie monitorovania energetickej efektívnosti </w:t>
            </w:r>
          </w:p>
          <w:p w14:paraId="20946E47" w14:textId="77777777" w:rsidR="00BB3261" w:rsidRDefault="00BB3261" w:rsidP="002C4DEF">
            <w:pPr>
              <w:rPr>
                <w:sz w:val="18"/>
                <w:szCs w:val="18"/>
              </w:rPr>
            </w:pPr>
          </w:p>
          <w:p w14:paraId="79574C71" w14:textId="6B37225F" w:rsidR="00464C14" w:rsidRPr="009D6C4F" w:rsidRDefault="00BB3261" w:rsidP="009D6C4F">
            <w:pPr>
              <w:ind w:left="284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Podaktivita </w:t>
            </w:r>
            <w:r w:rsidR="00E22E85" w:rsidRPr="009D6C4F">
              <w:rPr>
                <w:b/>
                <w:bCs/>
                <w:szCs w:val="24"/>
              </w:rPr>
              <w:t xml:space="preserve">1. </w:t>
            </w:r>
            <w:r w:rsidR="009F10E1" w:rsidRPr="009D6C4F">
              <w:rPr>
                <w:b/>
                <w:bCs/>
                <w:szCs w:val="24"/>
              </w:rPr>
              <w:t>N</w:t>
            </w:r>
            <w:r w:rsidR="00464C14" w:rsidRPr="009D6C4F">
              <w:rPr>
                <w:b/>
                <w:bCs/>
                <w:szCs w:val="24"/>
              </w:rPr>
              <w:t>ov</w:t>
            </w:r>
            <w:r w:rsidR="009F10E1" w:rsidRPr="009D6C4F">
              <w:rPr>
                <w:b/>
                <w:bCs/>
                <w:szCs w:val="24"/>
              </w:rPr>
              <w:t>é</w:t>
            </w:r>
            <w:r w:rsidR="00464C14" w:rsidRPr="009D6C4F">
              <w:rPr>
                <w:b/>
                <w:bCs/>
                <w:szCs w:val="24"/>
              </w:rPr>
              <w:t xml:space="preserve"> </w:t>
            </w:r>
            <w:r w:rsidR="009F10E1" w:rsidRPr="009D6C4F">
              <w:rPr>
                <w:b/>
                <w:bCs/>
                <w:szCs w:val="24"/>
              </w:rPr>
              <w:t>funkcionality</w:t>
            </w:r>
            <w:r w:rsidR="00464C14" w:rsidRPr="009D6C4F">
              <w:rPr>
                <w:b/>
                <w:bCs/>
                <w:szCs w:val="24"/>
              </w:rPr>
              <w:t xml:space="preserve"> </w:t>
            </w:r>
            <w:r w:rsidR="00392131">
              <w:rPr>
                <w:b/>
                <w:bCs/>
                <w:szCs w:val="24"/>
              </w:rPr>
              <w:t>monitorovania</w:t>
            </w:r>
          </w:p>
          <w:p w14:paraId="251C832A" w14:textId="77777777" w:rsidR="00464C14" w:rsidRDefault="00464C14" w:rsidP="002C4DEF">
            <w:pPr>
              <w:rPr>
                <w:bCs/>
                <w:color w:val="FF0000"/>
              </w:rPr>
            </w:pPr>
          </w:p>
          <w:p w14:paraId="51E09C54" w14:textId="191D6256" w:rsidR="005A39C6" w:rsidRPr="005A39C6" w:rsidRDefault="001768FB" w:rsidP="002C4DEF">
            <w:pPr>
              <w:rPr>
                <w:bCs/>
              </w:rPr>
            </w:pPr>
            <w:r w:rsidRPr="005A39C6">
              <w:rPr>
                <w:bCs/>
              </w:rPr>
              <w:t xml:space="preserve">Z dôvodu rozšírenia </w:t>
            </w:r>
            <w:r w:rsidR="00FA7F57">
              <w:rPr>
                <w:bCs/>
              </w:rPr>
              <w:t xml:space="preserve">monitorovania </w:t>
            </w:r>
            <w:r w:rsidR="00835E59">
              <w:rPr>
                <w:bCs/>
              </w:rPr>
              <w:t xml:space="preserve">energetickej efektívnosti </w:t>
            </w:r>
            <w:r w:rsidRPr="005A39C6">
              <w:rPr>
                <w:bCs/>
              </w:rPr>
              <w:t xml:space="preserve">o nové funkcionality je nevyhnutné zanalyzovať </w:t>
            </w:r>
            <w:r w:rsidR="005A39C6" w:rsidRPr="005A39C6">
              <w:rPr>
                <w:bCs/>
              </w:rPr>
              <w:t xml:space="preserve">aktuálne </w:t>
            </w:r>
            <w:r w:rsidRPr="005A39C6">
              <w:rPr>
                <w:bCs/>
              </w:rPr>
              <w:t>technické a softvérové zázemie</w:t>
            </w:r>
            <w:r w:rsidR="00FA7F57">
              <w:rPr>
                <w:bCs/>
              </w:rPr>
              <w:t>,</w:t>
            </w:r>
            <w:r w:rsidRPr="005A39C6">
              <w:rPr>
                <w:bCs/>
              </w:rPr>
              <w:t xml:space="preserve"> </w:t>
            </w:r>
            <w:r w:rsidR="005A39C6">
              <w:rPr>
                <w:bCs/>
              </w:rPr>
              <w:t>ako aj procesy zberu údajov, prípadne využiť možnosti odborného poradenstva</w:t>
            </w:r>
            <w:r w:rsidR="00835E59">
              <w:rPr>
                <w:bCs/>
              </w:rPr>
              <w:t xml:space="preserve"> pre moderný rozvoj</w:t>
            </w:r>
            <w:r w:rsidR="005A39C6">
              <w:rPr>
                <w:bCs/>
              </w:rPr>
              <w:t>.</w:t>
            </w:r>
          </w:p>
          <w:p w14:paraId="30DA1397" w14:textId="77777777" w:rsidR="005A39C6" w:rsidRDefault="005A39C6" w:rsidP="002C4DEF">
            <w:pPr>
              <w:rPr>
                <w:bCs/>
                <w:color w:val="FF0000"/>
              </w:rPr>
            </w:pPr>
          </w:p>
          <w:p w14:paraId="392E4FDD" w14:textId="5472BA14" w:rsidR="0073103C" w:rsidRDefault="00FA7F57" w:rsidP="002C4DEF">
            <w:r>
              <w:rPr>
                <w:bCs/>
                <w:color w:val="000000" w:themeColor="text1"/>
              </w:rPr>
              <w:t>Súčasný spôsob monitorovania</w:t>
            </w:r>
            <w:r w:rsidR="00FE6310">
              <w:rPr>
                <w:bCs/>
                <w:color w:val="000000" w:themeColor="text1"/>
              </w:rPr>
              <w:t xml:space="preserve"> </w:t>
            </w:r>
            <w:r w:rsidR="00835E59">
              <w:rPr>
                <w:bCs/>
                <w:color w:val="000000" w:themeColor="text1"/>
              </w:rPr>
              <w:t xml:space="preserve">energetickej efektívnosti </w:t>
            </w:r>
            <w:r w:rsidR="003D39F0">
              <w:rPr>
                <w:bCs/>
                <w:color w:val="000000" w:themeColor="text1"/>
              </w:rPr>
              <w:t xml:space="preserve">je potrebné doplniť </w:t>
            </w:r>
            <w:r w:rsidR="00FE6310">
              <w:rPr>
                <w:bCs/>
                <w:color w:val="000000" w:themeColor="text1"/>
              </w:rPr>
              <w:t>o nové funkcionality pre vyhodnocovanie plnenie A</w:t>
            </w:r>
            <w:r w:rsidR="009A3AC1">
              <w:rPr>
                <w:bCs/>
                <w:color w:val="000000" w:themeColor="text1"/>
              </w:rPr>
              <w:t>P</w:t>
            </w:r>
            <w:r>
              <w:rPr>
                <w:bCs/>
                <w:color w:val="000000" w:themeColor="text1"/>
              </w:rPr>
              <w:t>,</w:t>
            </w:r>
            <w:r w:rsidR="009A3AC1">
              <w:rPr>
                <w:bCs/>
                <w:color w:val="000000" w:themeColor="text1"/>
              </w:rPr>
              <w:t xml:space="preserve"> </w:t>
            </w:r>
            <w:r w:rsidR="00FE6310">
              <w:rPr>
                <w:bCs/>
                <w:color w:val="000000" w:themeColor="text1"/>
              </w:rPr>
              <w:t>ako aj pre zber takých údajov</w:t>
            </w:r>
            <w:r>
              <w:rPr>
                <w:bCs/>
                <w:color w:val="000000" w:themeColor="text1"/>
              </w:rPr>
              <w:t>,</w:t>
            </w:r>
            <w:r w:rsidR="00FE6310">
              <w:rPr>
                <w:bCs/>
                <w:color w:val="000000" w:themeColor="text1"/>
              </w:rPr>
              <w:t xml:space="preserve"> nad ktorými bude možné realizovať nové výstupy podľa </w:t>
            </w:r>
            <w:r w:rsidR="00835E59">
              <w:rPr>
                <w:bCs/>
                <w:color w:val="000000" w:themeColor="text1"/>
              </w:rPr>
              <w:t>Poda</w:t>
            </w:r>
            <w:r w:rsidR="00FE6310">
              <w:rPr>
                <w:bCs/>
                <w:color w:val="000000" w:themeColor="text1"/>
              </w:rPr>
              <w:t>ktivity č.</w:t>
            </w:r>
            <w:r w:rsidR="009A3AC1">
              <w:rPr>
                <w:bCs/>
                <w:color w:val="000000" w:themeColor="text1"/>
              </w:rPr>
              <w:t xml:space="preserve"> </w:t>
            </w:r>
            <w:r w:rsidR="00FE6310">
              <w:rPr>
                <w:bCs/>
                <w:color w:val="000000" w:themeColor="text1"/>
              </w:rPr>
              <w:t>3.</w:t>
            </w:r>
            <w:r w:rsidR="000C0700">
              <w:rPr>
                <w:bCs/>
                <w:color w:val="000000" w:themeColor="text1"/>
              </w:rPr>
              <w:t xml:space="preserve"> </w:t>
            </w:r>
            <w:r w:rsidR="00377856">
              <w:rPr>
                <w:bCs/>
                <w:color w:val="000000" w:themeColor="text1"/>
              </w:rPr>
              <w:t>Spracovanie analýz a správ.</w:t>
            </w:r>
            <w:r w:rsidR="00835E59">
              <w:rPr>
                <w:bCs/>
                <w:color w:val="000000" w:themeColor="text1"/>
              </w:rPr>
              <w:t xml:space="preserve"> Monitorovanie </w:t>
            </w:r>
            <w:r w:rsidR="0073103C">
              <w:rPr>
                <w:bCs/>
                <w:color w:val="000000" w:themeColor="text1"/>
              </w:rPr>
              <w:t>bude informa</w:t>
            </w:r>
            <w:r w:rsidR="0073103C" w:rsidRPr="0073103C">
              <w:rPr>
                <w:bCs/>
                <w:color w:val="000000" w:themeColor="text1"/>
              </w:rPr>
              <w:t>čne prepojen</w:t>
            </w:r>
            <w:r w:rsidR="00835E59">
              <w:rPr>
                <w:bCs/>
                <w:color w:val="000000" w:themeColor="text1"/>
              </w:rPr>
              <w:t>é</w:t>
            </w:r>
            <w:r w:rsidR="0073103C" w:rsidRPr="0073103C">
              <w:rPr>
                <w:bCs/>
                <w:color w:val="000000" w:themeColor="text1"/>
              </w:rPr>
              <w:t xml:space="preserve"> s</w:t>
            </w:r>
            <w:r w:rsidR="0073103C">
              <w:rPr>
                <w:bCs/>
                <w:color w:val="000000" w:themeColor="text1"/>
              </w:rPr>
              <w:t> </w:t>
            </w:r>
            <w:r w:rsidR="0073103C" w:rsidRPr="0073103C">
              <w:rPr>
                <w:bCs/>
                <w:color w:val="000000" w:themeColor="text1"/>
              </w:rPr>
              <w:t>inými</w:t>
            </w:r>
            <w:r w:rsidR="0073103C">
              <w:rPr>
                <w:bCs/>
                <w:color w:val="000000" w:themeColor="text1"/>
              </w:rPr>
              <w:t xml:space="preserve"> zdrojmi údajov, ktoré sú dostupné v elektronickej podobe.</w:t>
            </w:r>
            <w:r w:rsidR="0073103C" w:rsidRPr="0073103C">
              <w:rPr>
                <w:bCs/>
                <w:color w:val="000000" w:themeColor="text1"/>
              </w:rPr>
              <w:t xml:space="preserve"> </w:t>
            </w:r>
            <w:r w:rsidR="0073103C">
              <w:rPr>
                <w:bCs/>
                <w:color w:val="000000" w:themeColor="text1"/>
              </w:rPr>
              <w:t>Týmto dôjde k</w:t>
            </w:r>
            <w:r w:rsidR="006C00A0">
              <w:rPr>
                <w:bCs/>
                <w:color w:val="000000" w:themeColor="text1"/>
              </w:rPr>
              <w:t xml:space="preserve"> </w:t>
            </w:r>
            <w:r w:rsidR="0073103C">
              <w:rPr>
                <w:bCs/>
                <w:color w:val="000000" w:themeColor="text1"/>
              </w:rPr>
              <w:t xml:space="preserve">prepojeniu </w:t>
            </w:r>
            <w:r w:rsidR="0073103C">
              <w:t xml:space="preserve">viacerých </w:t>
            </w:r>
            <w:r w:rsidR="004C627B">
              <w:t>inštitúcií</w:t>
            </w:r>
            <w:r w:rsidR="0073103C">
              <w:t xml:space="preserve"> napríklad: INFOREG, ITMS, Kataster portál, ŠFRB.</w:t>
            </w:r>
          </w:p>
          <w:p w14:paraId="51B739A7" w14:textId="6A485672" w:rsidR="005B6CA0" w:rsidRDefault="00964D37" w:rsidP="00EF58C9">
            <w:r>
              <w:t xml:space="preserve">Nová funkcionalita bude zameraná </w:t>
            </w:r>
            <w:r w:rsidR="00FA7F57">
              <w:t xml:space="preserve">aj </w:t>
            </w:r>
            <w:r>
              <w:t>na uľahčenie poskytovania údajov</w:t>
            </w:r>
            <w:r w:rsidR="00835E59">
              <w:t>,</w:t>
            </w:r>
            <w:r>
              <w:t xml:space="preserve"> </w:t>
            </w:r>
            <w:r w:rsidR="005B6CA0">
              <w:t xml:space="preserve">najmä </w:t>
            </w:r>
            <w:r w:rsidR="00835E59">
              <w:t xml:space="preserve">správcom </w:t>
            </w:r>
            <w:r w:rsidR="005B6CA0">
              <w:t>budov ústrednej štátnej správy a územnej samosprávy</w:t>
            </w:r>
            <w:r w:rsidR="009A3AC1">
              <w:t>,</w:t>
            </w:r>
            <w:r w:rsidR="004D433B">
              <w:t xml:space="preserve"> </w:t>
            </w:r>
            <w:r w:rsidR="00523744">
              <w:t>ale</w:t>
            </w:r>
            <w:r w:rsidR="004D433B">
              <w:t xml:space="preserve"> aj iným subjektom ako napríklad budovy podporené v rámci znižovania e</w:t>
            </w:r>
            <w:r w:rsidR="00523744">
              <w:t>nergetickej náročnosti</w:t>
            </w:r>
            <w:r w:rsidR="00633910">
              <w:t xml:space="preserve"> z verejných zdrojov.</w:t>
            </w:r>
            <w:r w:rsidR="005B6CA0">
              <w:t xml:space="preserve"> </w:t>
            </w:r>
          </w:p>
          <w:p w14:paraId="0E387533" w14:textId="661AD970" w:rsidR="00D536A3" w:rsidRDefault="00E73A14" w:rsidP="00D536A3">
            <w:pPr>
              <w:rPr>
                <w:szCs w:val="24"/>
              </w:rPr>
            </w:pPr>
            <w:r w:rsidRPr="00E73A14">
              <w:rPr>
                <w:szCs w:val="24"/>
              </w:rPr>
              <w:t xml:space="preserve">Doplnením funkcionality pre prínos </w:t>
            </w:r>
            <w:r w:rsidR="00835E59">
              <w:rPr>
                <w:szCs w:val="24"/>
              </w:rPr>
              <w:t>obnoviteľných zdrojov energie (</w:t>
            </w:r>
            <w:r w:rsidR="00D536A3" w:rsidRPr="00E73A14">
              <w:rPr>
                <w:szCs w:val="24"/>
              </w:rPr>
              <w:t>OZE</w:t>
            </w:r>
            <w:r w:rsidR="00835E59">
              <w:rPr>
                <w:szCs w:val="24"/>
              </w:rPr>
              <w:t>)</w:t>
            </w:r>
            <w:r w:rsidR="00F660AE">
              <w:rPr>
                <w:szCs w:val="24"/>
              </w:rPr>
              <w:t>,</w:t>
            </w:r>
            <w:r w:rsidR="00D536A3" w:rsidRPr="00E73A14">
              <w:rPr>
                <w:szCs w:val="24"/>
              </w:rPr>
              <w:t xml:space="preserve"> </w:t>
            </w:r>
            <w:r w:rsidR="00C82CD9">
              <w:rPr>
                <w:szCs w:val="24"/>
              </w:rPr>
              <w:t xml:space="preserve">najmä </w:t>
            </w:r>
            <w:r w:rsidRPr="00E73A14">
              <w:rPr>
                <w:szCs w:val="24"/>
              </w:rPr>
              <w:t>v</w:t>
            </w:r>
            <w:r w:rsidR="00F660AE">
              <w:rPr>
                <w:szCs w:val="24"/>
              </w:rPr>
              <w:t> </w:t>
            </w:r>
            <w:r w:rsidRPr="00E73A14">
              <w:rPr>
                <w:szCs w:val="24"/>
              </w:rPr>
              <w:t>budovách</w:t>
            </w:r>
            <w:r w:rsidR="00F660AE">
              <w:rPr>
                <w:szCs w:val="24"/>
              </w:rPr>
              <w:t>,</w:t>
            </w:r>
            <w:r w:rsidRPr="00E73A14">
              <w:rPr>
                <w:szCs w:val="24"/>
              </w:rPr>
              <w:t xml:space="preserve"> </w:t>
            </w:r>
            <w:r w:rsidR="004411C1">
              <w:rPr>
                <w:szCs w:val="24"/>
              </w:rPr>
              <w:t xml:space="preserve">sa spresní </w:t>
            </w:r>
            <w:r w:rsidR="00D536A3" w:rsidRPr="00E73A14">
              <w:rPr>
                <w:szCs w:val="24"/>
              </w:rPr>
              <w:t>evidenci</w:t>
            </w:r>
            <w:r w:rsidR="004411C1">
              <w:rPr>
                <w:szCs w:val="24"/>
              </w:rPr>
              <w:t>a</w:t>
            </w:r>
            <w:r w:rsidR="00D536A3" w:rsidRPr="00E73A14">
              <w:rPr>
                <w:szCs w:val="24"/>
              </w:rPr>
              <w:t xml:space="preserve"> sledovania výroby tepla a elektriny z</w:t>
            </w:r>
            <w:r w:rsidRPr="00E73A14">
              <w:rPr>
                <w:szCs w:val="24"/>
              </w:rPr>
              <w:t> </w:t>
            </w:r>
            <w:r w:rsidR="00D536A3" w:rsidRPr="00E73A14">
              <w:rPr>
                <w:szCs w:val="24"/>
              </w:rPr>
              <w:t>OZE</w:t>
            </w:r>
            <w:r w:rsidRPr="00E73A14">
              <w:rPr>
                <w:szCs w:val="24"/>
              </w:rPr>
              <w:t xml:space="preserve"> z pohľadu </w:t>
            </w:r>
            <w:r w:rsidR="005B6CA0">
              <w:rPr>
                <w:szCs w:val="24"/>
              </w:rPr>
              <w:t>ich pri</w:t>
            </w:r>
            <w:r w:rsidRPr="00E73A14">
              <w:rPr>
                <w:szCs w:val="24"/>
              </w:rPr>
              <w:t xml:space="preserve">ameho vplyvu na zlepšovanie energetickej </w:t>
            </w:r>
            <w:r w:rsidR="005B6CA0">
              <w:rPr>
                <w:szCs w:val="24"/>
              </w:rPr>
              <w:t xml:space="preserve">bilancie </w:t>
            </w:r>
            <w:r w:rsidR="00C82CD9">
              <w:rPr>
                <w:szCs w:val="24"/>
              </w:rPr>
              <w:t>sledovaného objektu.</w:t>
            </w:r>
            <w:r w:rsidR="00D536A3" w:rsidRPr="00E73A14">
              <w:rPr>
                <w:szCs w:val="24"/>
              </w:rPr>
              <w:t xml:space="preserve"> </w:t>
            </w:r>
            <w:r w:rsidR="005B6CA0">
              <w:rPr>
                <w:szCs w:val="24"/>
              </w:rPr>
              <w:t>C</w:t>
            </w:r>
            <w:r w:rsidR="00D536A3" w:rsidRPr="00E73A14">
              <w:rPr>
                <w:szCs w:val="24"/>
              </w:rPr>
              <w:t>ieľom</w:t>
            </w:r>
            <w:r w:rsidR="005B6CA0">
              <w:rPr>
                <w:szCs w:val="24"/>
              </w:rPr>
              <w:t xml:space="preserve"> </w:t>
            </w:r>
            <w:r w:rsidR="005323E0">
              <w:rPr>
                <w:szCs w:val="24"/>
              </w:rPr>
              <w:t>je</w:t>
            </w:r>
            <w:r w:rsidR="005B6CA0">
              <w:rPr>
                <w:szCs w:val="24"/>
              </w:rPr>
              <w:t xml:space="preserve"> </w:t>
            </w:r>
            <w:r w:rsidR="005323E0">
              <w:rPr>
                <w:szCs w:val="24"/>
              </w:rPr>
              <w:t xml:space="preserve">sa </w:t>
            </w:r>
            <w:r w:rsidR="00D536A3" w:rsidRPr="00E73A14">
              <w:rPr>
                <w:szCs w:val="24"/>
              </w:rPr>
              <w:t xml:space="preserve">priamo dátovo napojiť na jestvujúce evidencie </w:t>
            </w:r>
            <w:r w:rsidR="005B6CA0">
              <w:rPr>
                <w:szCs w:val="24"/>
              </w:rPr>
              <w:t>obnoviteľných zdrojov U</w:t>
            </w:r>
            <w:r w:rsidR="00D536A3" w:rsidRPr="00E73A14">
              <w:rPr>
                <w:szCs w:val="24"/>
              </w:rPr>
              <w:t>RSO</w:t>
            </w:r>
            <w:r w:rsidR="005323E0">
              <w:rPr>
                <w:szCs w:val="24"/>
              </w:rPr>
              <w:t xml:space="preserve"> a </w:t>
            </w:r>
            <w:r w:rsidR="00D536A3" w:rsidRPr="00E73A14">
              <w:rPr>
                <w:szCs w:val="24"/>
              </w:rPr>
              <w:t>OKTE</w:t>
            </w:r>
            <w:r w:rsidR="005323E0">
              <w:rPr>
                <w:szCs w:val="24"/>
              </w:rPr>
              <w:t xml:space="preserve">, </w:t>
            </w:r>
            <w:r w:rsidR="005B6CA0">
              <w:rPr>
                <w:szCs w:val="24"/>
              </w:rPr>
              <w:t xml:space="preserve">aby sa nezvyšovala </w:t>
            </w:r>
            <w:r w:rsidR="003E082A">
              <w:rPr>
                <w:szCs w:val="24"/>
              </w:rPr>
              <w:t>admi</w:t>
            </w:r>
            <w:r w:rsidR="00EF58C9">
              <w:rPr>
                <w:szCs w:val="24"/>
              </w:rPr>
              <w:t>ni</w:t>
            </w:r>
            <w:r w:rsidR="003E082A">
              <w:rPr>
                <w:szCs w:val="24"/>
              </w:rPr>
              <w:t xml:space="preserve">stratívna náročnosť </w:t>
            </w:r>
            <w:r w:rsidR="005B6CA0">
              <w:rPr>
                <w:szCs w:val="24"/>
              </w:rPr>
              <w:t xml:space="preserve">a zároveň dosiahla čo najpresnejšia relácia medzi inými </w:t>
            </w:r>
            <w:r w:rsidR="005B6CA0">
              <w:rPr>
                <w:szCs w:val="24"/>
              </w:rPr>
              <w:lastRenderedPageBreak/>
              <w:t>energetickými opatreniami v budove a obnoviteľným zdrojom</w:t>
            </w:r>
            <w:r w:rsidR="00FE6310" w:rsidRPr="00E73A14">
              <w:rPr>
                <w:szCs w:val="24"/>
              </w:rPr>
              <w:t>.</w:t>
            </w:r>
            <w:r w:rsidRPr="00E73A14">
              <w:rPr>
                <w:szCs w:val="24"/>
              </w:rPr>
              <w:t xml:space="preserve"> </w:t>
            </w:r>
          </w:p>
          <w:p w14:paraId="26F4EB23" w14:textId="77777777" w:rsidR="00774895" w:rsidRDefault="00774895" w:rsidP="00D536A3">
            <w:pPr>
              <w:rPr>
                <w:szCs w:val="24"/>
              </w:rPr>
            </w:pPr>
          </w:p>
          <w:p w14:paraId="1CED6DBE" w14:textId="77777777" w:rsidR="00464C14" w:rsidRDefault="00BB3261" w:rsidP="00B07497">
            <w:pPr>
              <w:ind w:left="284"/>
              <w:rPr>
                <w:bCs/>
                <w:color w:val="FF0000"/>
              </w:rPr>
            </w:pPr>
            <w:r>
              <w:rPr>
                <w:b/>
                <w:bCs/>
              </w:rPr>
              <w:t xml:space="preserve">Podaktivita </w:t>
            </w:r>
            <w:r w:rsidR="00E22E85">
              <w:rPr>
                <w:b/>
                <w:bCs/>
              </w:rPr>
              <w:t xml:space="preserve">2. </w:t>
            </w:r>
            <w:r w:rsidR="00464C14" w:rsidRPr="00562BBC">
              <w:rPr>
                <w:b/>
                <w:bCs/>
              </w:rPr>
              <w:t xml:space="preserve">Prevádzka </w:t>
            </w:r>
            <w:r w:rsidR="004302E5">
              <w:rPr>
                <w:b/>
                <w:bCs/>
              </w:rPr>
              <w:t>MSEE</w:t>
            </w:r>
          </w:p>
          <w:p w14:paraId="5B97C533" w14:textId="77777777" w:rsidR="00464C14" w:rsidRDefault="00464C14" w:rsidP="002C4DEF">
            <w:pPr>
              <w:rPr>
                <w:bCs/>
                <w:color w:val="FF0000"/>
              </w:rPr>
            </w:pPr>
          </w:p>
          <w:p w14:paraId="687511B0" w14:textId="032B4DCF" w:rsidR="00464C14" w:rsidRDefault="0060693E" w:rsidP="002C4DEF">
            <w:pPr>
              <w:rPr>
                <w:szCs w:val="24"/>
              </w:rPr>
            </w:pPr>
            <w:r>
              <w:rPr>
                <w:szCs w:val="24"/>
              </w:rPr>
              <w:t xml:space="preserve">Do tejto </w:t>
            </w:r>
            <w:r w:rsidR="00BB3261">
              <w:rPr>
                <w:szCs w:val="24"/>
              </w:rPr>
              <w:t>pod</w:t>
            </w:r>
            <w:r>
              <w:rPr>
                <w:szCs w:val="24"/>
              </w:rPr>
              <w:t xml:space="preserve">aktivity spadajú </w:t>
            </w:r>
            <w:r w:rsidR="00562BBC" w:rsidRPr="00562BBC">
              <w:rPr>
                <w:szCs w:val="24"/>
              </w:rPr>
              <w:t>všetky činnosti potrebné k</w:t>
            </w:r>
            <w:r w:rsidR="00562BBC">
              <w:rPr>
                <w:szCs w:val="24"/>
              </w:rPr>
              <w:t xml:space="preserve"> zberu údajov </w:t>
            </w:r>
            <w:r w:rsidR="00366808">
              <w:rPr>
                <w:szCs w:val="24"/>
              </w:rPr>
              <w:t>za účelom vyhodnotenie energetickej náročnosti</w:t>
            </w:r>
            <w:r w:rsidR="005323E0">
              <w:rPr>
                <w:szCs w:val="24"/>
              </w:rPr>
              <w:t xml:space="preserve">, </w:t>
            </w:r>
            <w:r>
              <w:rPr>
                <w:szCs w:val="24"/>
              </w:rPr>
              <w:t>ako</w:t>
            </w:r>
            <w:r w:rsidR="005323E0">
              <w:rPr>
                <w:szCs w:val="24"/>
              </w:rPr>
              <w:t xml:space="preserve"> aj </w:t>
            </w:r>
            <w:r w:rsidR="00562BBC">
              <w:rPr>
                <w:szCs w:val="24"/>
              </w:rPr>
              <w:t>samotn</w:t>
            </w:r>
            <w:r>
              <w:rPr>
                <w:szCs w:val="24"/>
              </w:rPr>
              <w:t>á</w:t>
            </w:r>
            <w:r w:rsidR="00562BBC">
              <w:rPr>
                <w:szCs w:val="24"/>
              </w:rPr>
              <w:t xml:space="preserve"> prevádzk</w:t>
            </w:r>
            <w:r>
              <w:rPr>
                <w:szCs w:val="24"/>
              </w:rPr>
              <w:t>a</w:t>
            </w:r>
            <w:r w:rsidR="00562BBC">
              <w:rPr>
                <w:szCs w:val="24"/>
              </w:rPr>
              <w:t xml:space="preserve"> softwarovej a hardwarovej časti systému, komunikáci</w:t>
            </w:r>
            <w:r>
              <w:rPr>
                <w:szCs w:val="24"/>
              </w:rPr>
              <w:t>a</w:t>
            </w:r>
            <w:r w:rsidR="00562BBC">
              <w:rPr>
                <w:szCs w:val="24"/>
              </w:rPr>
              <w:t xml:space="preserve"> s poskytovateľmi údajov</w:t>
            </w:r>
            <w:r w:rsidR="00067E9E">
              <w:rPr>
                <w:szCs w:val="24"/>
              </w:rPr>
              <w:t>,</w:t>
            </w:r>
            <w:r w:rsidR="005323E0">
              <w:rPr>
                <w:szCs w:val="24"/>
              </w:rPr>
              <w:t xml:space="preserve"> </w:t>
            </w:r>
            <w:r w:rsidR="00067E9E">
              <w:rPr>
                <w:szCs w:val="24"/>
              </w:rPr>
              <w:t xml:space="preserve">osobitné spôsoby zberu údajov </w:t>
            </w:r>
            <w:r w:rsidR="009A05D5">
              <w:rPr>
                <w:szCs w:val="24"/>
              </w:rPr>
              <w:t xml:space="preserve">                           </w:t>
            </w:r>
            <w:r w:rsidR="005323E0">
              <w:rPr>
                <w:szCs w:val="24"/>
              </w:rPr>
              <w:t>a</w:t>
            </w:r>
            <w:r w:rsidR="00562BBC">
              <w:rPr>
                <w:szCs w:val="24"/>
              </w:rPr>
              <w:t xml:space="preserve"> </w:t>
            </w:r>
            <w:r w:rsidR="00067E9E">
              <w:rPr>
                <w:szCs w:val="24"/>
              </w:rPr>
              <w:t>verifikáci</w:t>
            </w:r>
            <w:r>
              <w:rPr>
                <w:szCs w:val="24"/>
              </w:rPr>
              <w:t>a</w:t>
            </w:r>
            <w:r w:rsidR="00562BBC">
              <w:rPr>
                <w:szCs w:val="24"/>
              </w:rPr>
              <w:t xml:space="preserve"> vstupujúcich údajov</w:t>
            </w:r>
            <w:r w:rsidR="005C0B4C">
              <w:rPr>
                <w:szCs w:val="24"/>
              </w:rPr>
              <w:t xml:space="preserve">. </w:t>
            </w:r>
            <w:r w:rsidR="005323E0">
              <w:rPr>
                <w:szCs w:val="24"/>
              </w:rPr>
              <w:t xml:space="preserve">Súčasťou prevádzky </w:t>
            </w:r>
            <w:r w:rsidR="00835E59">
              <w:rPr>
                <w:szCs w:val="24"/>
              </w:rPr>
              <w:t>MSEE</w:t>
            </w:r>
            <w:r w:rsidR="005323E0">
              <w:rPr>
                <w:szCs w:val="24"/>
              </w:rPr>
              <w:t xml:space="preserve"> je </w:t>
            </w:r>
            <w:r w:rsidR="005C0B4C">
              <w:rPr>
                <w:szCs w:val="24"/>
              </w:rPr>
              <w:t xml:space="preserve">aj </w:t>
            </w:r>
            <w:r w:rsidR="00CA7E0A">
              <w:rPr>
                <w:szCs w:val="24"/>
              </w:rPr>
              <w:t xml:space="preserve">starostlivosť </w:t>
            </w:r>
            <w:r w:rsidR="008D3E8A">
              <w:rPr>
                <w:szCs w:val="24"/>
              </w:rPr>
              <w:t xml:space="preserve">                           </w:t>
            </w:r>
            <w:r w:rsidR="00CA7E0A">
              <w:rPr>
                <w:szCs w:val="24"/>
              </w:rPr>
              <w:t xml:space="preserve">o </w:t>
            </w:r>
            <w:r w:rsidR="005C0B4C">
              <w:rPr>
                <w:szCs w:val="24"/>
              </w:rPr>
              <w:t xml:space="preserve">evidenciu </w:t>
            </w:r>
            <w:r w:rsidR="00CA7E0A">
              <w:rPr>
                <w:szCs w:val="24"/>
              </w:rPr>
              <w:t xml:space="preserve">jestvujúcich a </w:t>
            </w:r>
            <w:r w:rsidR="005C0B4C">
              <w:rPr>
                <w:szCs w:val="24"/>
              </w:rPr>
              <w:t>nových subjektov monitorovania</w:t>
            </w:r>
            <w:r w:rsidR="00964D37">
              <w:rPr>
                <w:szCs w:val="24"/>
              </w:rPr>
              <w:t xml:space="preserve"> a </w:t>
            </w:r>
            <w:r w:rsidR="005C0B4C">
              <w:rPr>
                <w:szCs w:val="24"/>
              </w:rPr>
              <w:t>zber paspo</w:t>
            </w:r>
            <w:r>
              <w:rPr>
                <w:szCs w:val="24"/>
              </w:rPr>
              <w:t>r</w:t>
            </w:r>
            <w:r w:rsidR="005C0B4C">
              <w:rPr>
                <w:szCs w:val="24"/>
              </w:rPr>
              <w:t>tizačných údajov o</w:t>
            </w:r>
            <w:r w:rsidR="00E22E85">
              <w:rPr>
                <w:szCs w:val="24"/>
              </w:rPr>
              <w:t xml:space="preserve"> </w:t>
            </w:r>
            <w:r w:rsidR="005C0B4C">
              <w:rPr>
                <w:szCs w:val="24"/>
              </w:rPr>
              <w:t>objektoch monitorovania</w:t>
            </w:r>
            <w:r w:rsidR="00964D37">
              <w:rPr>
                <w:szCs w:val="24"/>
              </w:rPr>
              <w:t>.</w:t>
            </w:r>
            <w:r w:rsidR="005C0B4C">
              <w:rPr>
                <w:bCs/>
              </w:rPr>
              <w:t xml:space="preserve"> Prevádzka vyžaduje</w:t>
            </w:r>
            <w:r w:rsidR="005C0B4C">
              <w:rPr>
                <w:szCs w:val="24"/>
              </w:rPr>
              <w:t xml:space="preserve"> aj výkon podporných činností ako </w:t>
            </w:r>
            <w:r w:rsidR="00EE1E39">
              <w:rPr>
                <w:szCs w:val="24"/>
              </w:rPr>
              <w:t xml:space="preserve">napríklad </w:t>
            </w:r>
            <w:r w:rsidR="005C0B4C">
              <w:rPr>
                <w:szCs w:val="24"/>
              </w:rPr>
              <w:t>servisné úkony</w:t>
            </w:r>
            <w:r w:rsidR="00835E59">
              <w:rPr>
                <w:szCs w:val="24"/>
              </w:rPr>
              <w:t xml:space="preserve">, </w:t>
            </w:r>
            <w:r w:rsidR="000C3D17">
              <w:rPr>
                <w:szCs w:val="24"/>
              </w:rPr>
              <w:t>systémové aktualizácie</w:t>
            </w:r>
            <w:r w:rsidR="00835E59">
              <w:rPr>
                <w:szCs w:val="24"/>
              </w:rPr>
              <w:t>,</w:t>
            </w:r>
            <w:r w:rsidR="000C3D17">
              <w:rPr>
                <w:szCs w:val="24"/>
              </w:rPr>
              <w:t xml:space="preserve"> nákup</w:t>
            </w:r>
            <w:r w:rsidR="005C0B4C">
              <w:rPr>
                <w:szCs w:val="24"/>
              </w:rPr>
              <w:t xml:space="preserve"> s</w:t>
            </w:r>
            <w:r>
              <w:rPr>
                <w:szCs w:val="24"/>
              </w:rPr>
              <w:t>oftvérov</w:t>
            </w:r>
            <w:r w:rsidR="000C3D17">
              <w:rPr>
                <w:szCs w:val="24"/>
              </w:rPr>
              <w:t>ých</w:t>
            </w:r>
            <w:r w:rsidR="005C0B4C">
              <w:rPr>
                <w:szCs w:val="24"/>
              </w:rPr>
              <w:t xml:space="preserve"> licenci</w:t>
            </w:r>
            <w:r w:rsidR="000C3D17">
              <w:rPr>
                <w:szCs w:val="24"/>
              </w:rPr>
              <w:t>í</w:t>
            </w:r>
            <w:r w:rsidR="00B639CD">
              <w:rPr>
                <w:szCs w:val="24"/>
              </w:rPr>
              <w:t xml:space="preserve"> a</w:t>
            </w:r>
            <w:r w:rsidR="00633910">
              <w:rPr>
                <w:szCs w:val="24"/>
              </w:rPr>
              <w:t> </w:t>
            </w:r>
            <w:r w:rsidR="00B639CD">
              <w:rPr>
                <w:szCs w:val="24"/>
              </w:rPr>
              <w:t>podobne</w:t>
            </w:r>
            <w:r w:rsidR="00633910">
              <w:rPr>
                <w:szCs w:val="24"/>
              </w:rPr>
              <w:t xml:space="preserve">. </w:t>
            </w:r>
            <w:r w:rsidR="008D3E8A">
              <w:rPr>
                <w:szCs w:val="24"/>
              </w:rPr>
              <w:t xml:space="preserve">          </w:t>
            </w:r>
            <w:r w:rsidR="00633910">
              <w:rPr>
                <w:szCs w:val="24"/>
              </w:rPr>
              <w:t>S</w:t>
            </w:r>
            <w:r w:rsidR="00B639CD">
              <w:rPr>
                <w:szCs w:val="24"/>
              </w:rPr>
              <w:t xml:space="preserve"> prevádzk</w:t>
            </w:r>
            <w:r w:rsidR="00633910">
              <w:rPr>
                <w:szCs w:val="24"/>
              </w:rPr>
              <w:t>ou MSEE súvisí nevyhnutne</w:t>
            </w:r>
            <w:r w:rsidR="000C3D17">
              <w:rPr>
                <w:szCs w:val="24"/>
              </w:rPr>
              <w:t xml:space="preserve"> </w:t>
            </w:r>
            <w:r w:rsidR="00FE6310">
              <w:rPr>
                <w:szCs w:val="24"/>
              </w:rPr>
              <w:t>pr</w:t>
            </w:r>
            <w:r w:rsidR="00633910">
              <w:rPr>
                <w:szCs w:val="24"/>
              </w:rPr>
              <w:t>enáj</w:t>
            </w:r>
            <w:r w:rsidR="000C3D17">
              <w:rPr>
                <w:szCs w:val="24"/>
              </w:rPr>
              <w:t>om</w:t>
            </w:r>
            <w:r w:rsidR="00FE6310">
              <w:rPr>
                <w:szCs w:val="24"/>
              </w:rPr>
              <w:t xml:space="preserve"> priestorov</w:t>
            </w:r>
            <w:r w:rsidR="000C3D17">
              <w:rPr>
                <w:szCs w:val="24"/>
              </w:rPr>
              <w:t xml:space="preserve">, </w:t>
            </w:r>
            <w:r w:rsidR="00EE1E39">
              <w:rPr>
                <w:szCs w:val="24"/>
              </w:rPr>
              <w:t>dátových liniek</w:t>
            </w:r>
            <w:r w:rsidR="000C3D17">
              <w:rPr>
                <w:szCs w:val="24"/>
              </w:rPr>
              <w:t xml:space="preserve"> a</w:t>
            </w:r>
            <w:r w:rsidR="002559F0">
              <w:rPr>
                <w:szCs w:val="24"/>
              </w:rPr>
              <w:t xml:space="preserve"> materiálno technické zabezpečenie</w:t>
            </w:r>
            <w:r w:rsidR="00835E59">
              <w:rPr>
                <w:szCs w:val="24"/>
              </w:rPr>
              <w:t xml:space="preserve"> žiadateľa</w:t>
            </w:r>
            <w:r w:rsidR="000C3D17">
              <w:rPr>
                <w:szCs w:val="24"/>
              </w:rPr>
              <w:t>.</w:t>
            </w:r>
          </w:p>
          <w:p w14:paraId="6E3476CF" w14:textId="77777777" w:rsidR="00562BBC" w:rsidRDefault="00562BBC" w:rsidP="002C4DEF">
            <w:pPr>
              <w:rPr>
                <w:bCs/>
                <w:color w:val="FF0000"/>
              </w:rPr>
            </w:pPr>
          </w:p>
          <w:p w14:paraId="6DBED649" w14:textId="39DD904D" w:rsidR="00464C14" w:rsidRPr="00B07497" w:rsidRDefault="00BB3261" w:rsidP="00B07497">
            <w:pPr>
              <w:ind w:left="284"/>
              <w:rPr>
                <w:b/>
                <w:bCs/>
              </w:rPr>
            </w:pPr>
            <w:r>
              <w:rPr>
                <w:b/>
                <w:bCs/>
              </w:rPr>
              <w:t xml:space="preserve">Podaktivita </w:t>
            </w:r>
            <w:r w:rsidR="00E22E85" w:rsidRPr="00B07497">
              <w:rPr>
                <w:b/>
                <w:bCs/>
              </w:rPr>
              <w:t xml:space="preserve">3. </w:t>
            </w:r>
            <w:r w:rsidR="00464C14" w:rsidRPr="00B07497">
              <w:rPr>
                <w:b/>
                <w:bCs/>
              </w:rPr>
              <w:t xml:space="preserve">Spracovanie </w:t>
            </w:r>
            <w:r w:rsidR="0060693E" w:rsidRPr="00B07497">
              <w:rPr>
                <w:b/>
                <w:bCs/>
              </w:rPr>
              <w:t>analýz a správ</w:t>
            </w:r>
          </w:p>
          <w:p w14:paraId="4D2FAEB9" w14:textId="77777777" w:rsidR="00B3793D" w:rsidRDefault="00B3793D" w:rsidP="002C4DEF">
            <w:pPr>
              <w:rPr>
                <w:bCs/>
                <w:color w:val="FF0000"/>
              </w:rPr>
            </w:pPr>
          </w:p>
          <w:p w14:paraId="394EC0F4" w14:textId="2F5BBA8D" w:rsidR="0073103C" w:rsidRDefault="00F26097" w:rsidP="002B43F1">
            <w:pPr>
              <w:rPr>
                <w:szCs w:val="24"/>
              </w:rPr>
            </w:pPr>
            <w:r>
              <w:rPr>
                <w:bCs/>
              </w:rPr>
              <w:t xml:space="preserve">V rámci monitorovania </w:t>
            </w:r>
            <w:r w:rsidR="00835E59">
              <w:rPr>
                <w:bCs/>
              </w:rPr>
              <w:t xml:space="preserve">cez MSEE </w:t>
            </w:r>
            <w:r>
              <w:rPr>
                <w:bCs/>
              </w:rPr>
              <w:t xml:space="preserve">bude vytvorený systém </w:t>
            </w:r>
            <w:r w:rsidR="002B43F1" w:rsidRPr="00AD47B4">
              <w:rPr>
                <w:bCs/>
              </w:rPr>
              <w:t>analytick</w:t>
            </w:r>
            <w:r>
              <w:rPr>
                <w:bCs/>
              </w:rPr>
              <w:t>ých</w:t>
            </w:r>
            <w:r w:rsidR="002B43F1" w:rsidRPr="00AD47B4">
              <w:rPr>
                <w:bCs/>
              </w:rPr>
              <w:t xml:space="preserve"> </w:t>
            </w:r>
            <w:r w:rsidR="0017269C">
              <w:rPr>
                <w:bCs/>
              </w:rPr>
              <w:t>funkci</w:t>
            </w:r>
            <w:r>
              <w:rPr>
                <w:bCs/>
              </w:rPr>
              <w:t>í</w:t>
            </w:r>
            <w:r w:rsidR="002B43F1" w:rsidRPr="00AD47B4">
              <w:rPr>
                <w:bCs/>
              </w:rPr>
              <w:t>, z ktorých bude možné očakávať priemerné a hraničné údaje o spotrebe rôznych foriem využiteľnej energie, ako aj dopadoch jednotlivých aktivít na znižovanie emisií skleníkových plynov. Výstupm</w:t>
            </w:r>
            <w:r w:rsidR="0017269C">
              <w:rPr>
                <w:bCs/>
              </w:rPr>
              <w:t>i</w:t>
            </w:r>
            <w:r w:rsidR="002B43F1" w:rsidRPr="00AD47B4">
              <w:rPr>
                <w:bCs/>
              </w:rPr>
              <w:t xml:space="preserve"> z analytických </w:t>
            </w:r>
            <w:r w:rsidR="0017269C">
              <w:rPr>
                <w:bCs/>
              </w:rPr>
              <w:t>funkcionalít</w:t>
            </w:r>
            <w:r w:rsidR="002B43F1" w:rsidRPr="00AD47B4">
              <w:rPr>
                <w:bCs/>
              </w:rPr>
              <w:t xml:space="preserve"> budú aj údaje o investičnej náročnosti na jednotku usporenej alebo vyrobenej energie a na jednotku zníženia emisií skleníkových plynov členené podľa vopred stanovených kritérií, použiteľné napr. aj na hodnotenie predkladaných projektov z pohľadu ekonomickej efektívnosti.</w:t>
            </w:r>
            <w:r w:rsidR="002B43F1" w:rsidRPr="00AD47B4">
              <w:rPr>
                <w:szCs w:val="24"/>
              </w:rPr>
              <w:t xml:space="preserve"> </w:t>
            </w:r>
          </w:p>
          <w:p w14:paraId="1D4D3100" w14:textId="77777777" w:rsidR="004302E5" w:rsidRDefault="004302E5" w:rsidP="002B43F1">
            <w:pPr>
              <w:rPr>
                <w:szCs w:val="24"/>
              </w:rPr>
            </w:pPr>
          </w:p>
          <w:p w14:paraId="355D971B" w14:textId="6D108724" w:rsidR="00F26097" w:rsidRDefault="005B6CA0" w:rsidP="008E673A">
            <w:pPr>
              <w:rPr>
                <w:bCs/>
              </w:rPr>
            </w:pPr>
            <w:r>
              <w:rPr>
                <w:bCs/>
              </w:rPr>
              <w:t>Pri budovách s</w:t>
            </w:r>
            <w:r w:rsidR="00F26097">
              <w:rPr>
                <w:bCs/>
              </w:rPr>
              <w:t> monitorovaním spotrieb na báze kratšej ako jeden rok bude ponúknuté</w:t>
            </w:r>
            <w:r w:rsidR="00835E59">
              <w:rPr>
                <w:bCs/>
              </w:rPr>
              <w:t xml:space="preserve"> najmä</w:t>
            </w:r>
            <w:r w:rsidR="00F26097">
              <w:rPr>
                <w:bCs/>
              </w:rPr>
              <w:t xml:space="preserve">: </w:t>
            </w:r>
          </w:p>
          <w:p w14:paraId="627AB2EF" w14:textId="77777777" w:rsidR="004D433B" w:rsidRPr="004D433B" w:rsidRDefault="004D433B" w:rsidP="00CA6D75">
            <w:pPr>
              <w:pStyle w:val="Odsekzoznamu"/>
              <w:numPr>
                <w:ilvl w:val="0"/>
                <w:numId w:val="12"/>
              </w:numPr>
              <w:ind w:left="284" w:hanging="284"/>
            </w:pPr>
            <w:r w:rsidRPr="00661495">
              <w:rPr>
                <w:bCs/>
              </w:rPr>
              <w:t>a</w:t>
            </w:r>
            <w:r w:rsidR="005B6CA0" w:rsidRPr="00661495">
              <w:rPr>
                <w:bCs/>
              </w:rPr>
              <w:t>utomatické</w:t>
            </w:r>
            <w:r w:rsidR="00366808" w:rsidRPr="00661495">
              <w:rPr>
                <w:bCs/>
              </w:rPr>
              <w:t xml:space="preserve"> up</w:t>
            </w:r>
            <w:r w:rsidR="005B6CA0" w:rsidRPr="00661495">
              <w:rPr>
                <w:bCs/>
              </w:rPr>
              <w:t>ozornenie prevádzkovateľa budovy pri spotrebe</w:t>
            </w:r>
            <w:r w:rsidRPr="00661495">
              <w:rPr>
                <w:bCs/>
              </w:rPr>
              <w:t xml:space="preserve"> výrazne mimo rámec očakávaných hodnôt</w:t>
            </w:r>
            <w:r w:rsidR="00661495">
              <w:rPr>
                <w:bCs/>
              </w:rPr>
              <w:t>;</w:t>
            </w:r>
          </w:p>
          <w:p w14:paraId="182F69A5" w14:textId="77777777" w:rsidR="004D433B" w:rsidRPr="004D433B" w:rsidRDefault="004D433B" w:rsidP="00CA6D75">
            <w:pPr>
              <w:pStyle w:val="Odsekzoznamu"/>
              <w:numPr>
                <w:ilvl w:val="0"/>
                <w:numId w:val="12"/>
              </w:numPr>
              <w:ind w:left="284" w:hanging="284"/>
            </w:pPr>
            <w:r w:rsidRPr="00661495">
              <w:rPr>
                <w:bCs/>
              </w:rPr>
              <w:t>poskytovanie číselného a grafického prehľadu spotrieb monitorovaného objektu</w:t>
            </w:r>
            <w:r w:rsidR="00661495">
              <w:rPr>
                <w:bCs/>
              </w:rPr>
              <w:t>;</w:t>
            </w:r>
          </w:p>
          <w:p w14:paraId="6DF4AB37" w14:textId="77777777" w:rsidR="00F26097" w:rsidRDefault="00F26097" w:rsidP="00122869">
            <w:pPr>
              <w:pStyle w:val="Odsekzoznamu"/>
              <w:numPr>
                <w:ilvl w:val="3"/>
                <w:numId w:val="10"/>
              </w:numPr>
              <w:ind w:left="284" w:hanging="284"/>
            </w:pPr>
            <w:r>
              <w:t>návrh opatrení na zlepšenie energetickej efektívnosti budovy;</w:t>
            </w:r>
          </w:p>
          <w:p w14:paraId="5E5959BC" w14:textId="77777777" w:rsidR="00F26097" w:rsidRDefault="00122869" w:rsidP="00122869">
            <w:pPr>
              <w:pStyle w:val="Odsekzoznamu"/>
              <w:numPr>
                <w:ilvl w:val="0"/>
                <w:numId w:val="10"/>
              </w:numPr>
              <w:ind w:left="284" w:hanging="284"/>
            </w:pPr>
            <w:r>
              <w:t xml:space="preserve">poradenstvo pri </w:t>
            </w:r>
            <w:r w:rsidR="00F26097">
              <w:t>výbere dodávateľa a tarify odoberanej energie;</w:t>
            </w:r>
          </w:p>
          <w:p w14:paraId="24D46BC6" w14:textId="77777777" w:rsidR="00F26097" w:rsidRDefault="00122869" w:rsidP="00122869">
            <w:pPr>
              <w:pStyle w:val="Odsekzoznamu"/>
              <w:numPr>
                <w:ilvl w:val="0"/>
                <w:numId w:val="10"/>
              </w:numPr>
              <w:ind w:left="284" w:hanging="284"/>
            </w:pPr>
            <w:r>
              <w:t xml:space="preserve">poradenstvo pri </w:t>
            </w:r>
            <w:r w:rsidR="00F26097">
              <w:t>stanovení množstva rezervovanej kapacity elektriny alebo denného maxima zemného plynu.</w:t>
            </w:r>
          </w:p>
          <w:p w14:paraId="043742AE" w14:textId="77777777" w:rsidR="008E673A" w:rsidRPr="008E673A" w:rsidRDefault="008E673A" w:rsidP="008E673A">
            <w:pPr>
              <w:rPr>
                <w:bCs/>
              </w:rPr>
            </w:pPr>
          </w:p>
          <w:p w14:paraId="5705C615" w14:textId="3D0B61AD" w:rsidR="00CF582D" w:rsidRDefault="002B43F1" w:rsidP="00282C07">
            <w:pPr>
              <w:rPr>
                <w:bCs/>
              </w:rPr>
            </w:pPr>
            <w:r w:rsidRPr="00AD47B4">
              <w:rPr>
                <w:bCs/>
              </w:rPr>
              <w:t xml:space="preserve">Pri dodržaní potrebných bezpečnostných pravidiel </w:t>
            </w:r>
            <w:r w:rsidR="00122869">
              <w:rPr>
                <w:bCs/>
              </w:rPr>
              <w:t xml:space="preserve">môže byť </w:t>
            </w:r>
            <w:r w:rsidR="002A0826">
              <w:rPr>
                <w:bCs/>
              </w:rPr>
              <w:t>poskyt</w:t>
            </w:r>
            <w:r w:rsidR="00122869">
              <w:rPr>
                <w:bCs/>
              </w:rPr>
              <w:t>nutý</w:t>
            </w:r>
            <w:r w:rsidRPr="00AD47B4">
              <w:rPr>
                <w:bCs/>
              </w:rPr>
              <w:t xml:space="preserve"> prístup do určitej úrovne </w:t>
            </w:r>
            <w:r w:rsidR="00835E59">
              <w:rPr>
                <w:bCs/>
              </w:rPr>
              <w:t>MSEE</w:t>
            </w:r>
            <w:r w:rsidRPr="00AD47B4">
              <w:rPr>
                <w:bCs/>
              </w:rPr>
              <w:t xml:space="preserve"> všetkým cieľovým skupinám, jednak na účel poskytovania údajov, ale najmä na porovnania spotreby energie alebo výsledkov projektov s podobnými skupinami odberateľov energie. </w:t>
            </w:r>
          </w:p>
          <w:p w14:paraId="138CE84D" w14:textId="77777777" w:rsidR="005F070F" w:rsidRDefault="005F070F" w:rsidP="00282C07">
            <w:pPr>
              <w:rPr>
                <w:bCs/>
              </w:rPr>
            </w:pPr>
          </w:p>
          <w:p w14:paraId="1FB88F31" w14:textId="77777777" w:rsidR="005F070F" w:rsidRDefault="005F070F" w:rsidP="005F070F">
            <w:pPr>
              <w:rPr>
                <w:szCs w:val="24"/>
              </w:rPr>
            </w:pPr>
            <w:r w:rsidRPr="007021B9">
              <w:rPr>
                <w:szCs w:val="24"/>
              </w:rPr>
              <w:t>Popri hlavných aktivitách bude realizácia projektu zabezpečovaná prostredníctvom podporn</w:t>
            </w:r>
            <w:r w:rsidR="0008771C">
              <w:rPr>
                <w:szCs w:val="24"/>
              </w:rPr>
              <w:t xml:space="preserve">ej </w:t>
            </w:r>
            <w:r w:rsidRPr="007021B9">
              <w:rPr>
                <w:szCs w:val="24"/>
              </w:rPr>
              <w:t>aktiv</w:t>
            </w:r>
            <w:r w:rsidR="0008771C">
              <w:rPr>
                <w:szCs w:val="24"/>
              </w:rPr>
              <w:t>ity</w:t>
            </w:r>
            <w:r w:rsidRPr="007021B9">
              <w:rPr>
                <w:szCs w:val="24"/>
              </w:rPr>
              <w:t xml:space="preserve"> a to najmä:</w:t>
            </w:r>
          </w:p>
          <w:p w14:paraId="51E6A7C5" w14:textId="77777777" w:rsidR="00392131" w:rsidRDefault="00392131" w:rsidP="005F070F">
            <w:pPr>
              <w:rPr>
                <w:b/>
                <w:szCs w:val="24"/>
              </w:rPr>
            </w:pPr>
          </w:p>
          <w:p w14:paraId="065A0DA4" w14:textId="0E59CF40" w:rsidR="005F070F" w:rsidRPr="00392131" w:rsidRDefault="00392131" w:rsidP="00392131">
            <w:pPr>
              <w:rPr>
                <w:b/>
                <w:szCs w:val="24"/>
              </w:rPr>
            </w:pPr>
            <w:r w:rsidRPr="00392131">
              <w:rPr>
                <w:b/>
                <w:szCs w:val="24"/>
              </w:rPr>
              <w:t xml:space="preserve">Podporná aktivita 1: </w:t>
            </w:r>
            <w:r>
              <w:rPr>
                <w:bCs/>
              </w:rPr>
              <w:t xml:space="preserve"> </w:t>
            </w:r>
            <w:r w:rsidRPr="00392131">
              <w:rPr>
                <w:b/>
                <w:bCs/>
              </w:rPr>
              <w:t>R</w:t>
            </w:r>
            <w:r w:rsidR="005F070F" w:rsidRPr="00392131">
              <w:rPr>
                <w:b/>
                <w:bCs/>
              </w:rPr>
              <w:t>iadenie projektu a propagácia.</w:t>
            </w:r>
          </w:p>
          <w:p w14:paraId="47CA00F4" w14:textId="77777777" w:rsidR="0008771C" w:rsidRDefault="0008771C" w:rsidP="0008771C">
            <w:pPr>
              <w:rPr>
                <w:sz w:val="18"/>
                <w:szCs w:val="18"/>
              </w:rPr>
            </w:pPr>
          </w:p>
          <w:p w14:paraId="2B936935" w14:textId="77777777" w:rsidR="0008771C" w:rsidRPr="0008771C" w:rsidRDefault="0008771C" w:rsidP="0008771C">
            <w:pPr>
              <w:rPr>
                <w:sz w:val="18"/>
                <w:szCs w:val="18"/>
              </w:rPr>
            </w:pPr>
            <w:r w:rsidRPr="007021B9">
              <w:rPr>
                <w:szCs w:val="24"/>
              </w:rPr>
              <w:t>Na tento účel budú využití prioritne zamestnanci SIEA.</w:t>
            </w:r>
          </w:p>
        </w:tc>
      </w:tr>
    </w:tbl>
    <w:p w14:paraId="6847EE4E" w14:textId="77777777" w:rsidR="007E285C" w:rsidRDefault="007E285C">
      <w:pPr>
        <w:sectPr w:rsidR="007E285C" w:rsidSect="00A30DA9">
          <w:footerReference w:type="default" r:id="rId14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675"/>
        <w:gridCol w:w="4111"/>
        <w:gridCol w:w="2552"/>
        <w:gridCol w:w="2551"/>
        <w:gridCol w:w="4394"/>
      </w:tblGrid>
      <w:tr w:rsidR="00966600" w:rsidRPr="00CB474A" w14:paraId="28EA8C34" w14:textId="77777777" w:rsidTr="00966600">
        <w:trPr>
          <w:trHeight w:val="76"/>
        </w:trPr>
        <w:tc>
          <w:tcPr>
            <w:tcW w:w="14283" w:type="dxa"/>
            <w:gridSpan w:val="5"/>
            <w:shd w:val="clear" w:color="auto" w:fill="CCC0D9" w:themeFill="accent4" w:themeFillTint="66"/>
          </w:tcPr>
          <w:p w14:paraId="553D3A18" w14:textId="4EA38F61" w:rsidR="00966600" w:rsidRPr="00F07DD4" w:rsidRDefault="00966600" w:rsidP="004B0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 Prehľad merateľných ukazovateľov projektu</w:t>
            </w:r>
          </w:p>
        </w:tc>
      </w:tr>
      <w:tr w:rsidR="00966600" w:rsidRPr="00CB474A" w14:paraId="72149C19" w14:textId="77777777" w:rsidTr="00966600">
        <w:trPr>
          <w:trHeight w:val="76"/>
        </w:trPr>
        <w:tc>
          <w:tcPr>
            <w:tcW w:w="675" w:type="dxa"/>
          </w:tcPr>
          <w:p w14:paraId="679322BB" w14:textId="77777777" w:rsidR="00966600" w:rsidRPr="00B10209" w:rsidDel="00187776" w:rsidRDefault="00966600" w:rsidP="004B0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4111" w:type="dxa"/>
          </w:tcPr>
          <w:p w14:paraId="12A83D26" w14:textId="77777777" w:rsidR="00966600" w:rsidRPr="00B10209" w:rsidDel="00187776" w:rsidRDefault="00966600" w:rsidP="004B0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552" w:type="dxa"/>
          </w:tcPr>
          <w:p w14:paraId="5B3E8CC8" w14:textId="77777777" w:rsidR="00966600" w:rsidRPr="00B10209" w:rsidDel="00187776" w:rsidRDefault="00966600" w:rsidP="004B0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551" w:type="dxa"/>
          </w:tcPr>
          <w:p w14:paraId="09ABB46B" w14:textId="77777777" w:rsidR="00966600" w:rsidRPr="00B10209" w:rsidDel="00187776" w:rsidRDefault="00966600" w:rsidP="004B0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4394" w:type="dxa"/>
          </w:tcPr>
          <w:p w14:paraId="60EFFEF3" w14:textId="77777777" w:rsidR="00966600" w:rsidRPr="00F07DD4" w:rsidDel="00187776" w:rsidRDefault="00966600" w:rsidP="004B0690">
            <w:pPr>
              <w:jc w:val="center"/>
              <w:rPr>
                <w:b/>
                <w:bCs/>
              </w:rPr>
            </w:pPr>
            <w:r w:rsidRPr="00F07DD4">
              <w:rPr>
                <w:b/>
                <w:bCs/>
              </w:rPr>
              <w:t>Relevancia k HP</w:t>
            </w:r>
          </w:p>
        </w:tc>
      </w:tr>
      <w:tr w:rsidR="00966600" w:rsidRPr="00CB474A" w14:paraId="4703D11D" w14:textId="77777777" w:rsidTr="00966600">
        <w:trPr>
          <w:trHeight w:val="76"/>
        </w:trPr>
        <w:tc>
          <w:tcPr>
            <w:tcW w:w="675" w:type="dxa"/>
          </w:tcPr>
          <w:p w14:paraId="1BB55389" w14:textId="77777777" w:rsidR="00966600" w:rsidRPr="008F7BB9" w:rsidRDefault="00966600" w:rsidP="004B0690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4111" w:type="dxa"/>
          </w:tcPr>
          <w:p w14:paraId="16526A57" w14:textId="37B6F81B" w:rsidR="00966600" w:rsidRPr="008F7BB9" w:rsidRDefault="00CF350D" w:rsidP="00660B99">
            <w:pPr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color w:val="000000" w:themeColor="text1"/>
              </w:rPr>
              <w:t xml:space="preserve">Počet nových </w:t>
            </w:r>
            <w:r w:rsidR="00966600">
              <w:rPr>
                <w:color w:val="000000" w:themeColor="text1"/>
              </w:rPr>
              <w:t>funkcional</w:t>
            </w:r>
            <w:r>
              <w:rPr>
                <w:color w:val="000000" w:themeColor="text1"/>
              </w:rPr>
              <w:t>ít</w:t>
            </w:r>
          </w:p>
        </w:tc>
        <w:tc>
          <w:tcPr>
            <w:tcW w:w="2552" w:type="dxa"/>
          </w:tcPr>
          <w:p w14:paraId="72C64E97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počet</w:t>
            </w:r>
          </w:p>
        </w:tc>
        <w:tc>
          <w:tcPr>
            <w:tcW w:w="2551" w:type="dxa"/>
          </w:tcPr>
          <w:p w14:paraId="3CC1DF88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9</w:t>
            </w:r>
          </w:p>
        </w:tc>
        <w:tc>
          <w:tcPr>
            <w:tcW w:w="4394" w:type="dxa"/>
          </w:tcPr>
          <w:p w14:paraId="1A5B98DB" w14:textId="77777777" w:rsidR="00966600" w:rsidRPr="005445CE" w:rsidRDefault="00966600" w:rsidP="004B0690">
            <w:pPr>
              <w:jc w:val="center"/>
              <w:rPr>
                <w:bCs/>
                <w:color w:val="FF0000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N/A</w:t>
            </w:r>
          </w:p>
        </w:tc>
      </w:tr>
      <w:tr w:rsidR="00966600" w:rsidRPr="00CB474A" w14:paraId="238F5157" w14:textId="77777777" w:rsidTr="00966600">
        <w:trPr>
          <w:trHeight w:val="76"/>
        </w:trPr>
        <w:tc>
          <w:tcPr>
            <w:tcW w:w="675" w:type="dxa"/>
          </w:tcPr>
          <w:p w14:paraId="787A3147" w14:textId="77777777" w:rsidR="00966600" w:rsidRPr="008F7BB9" w:rsidRDefault="00966600" w:rsidP="004B0690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4111" w:type="dxa"/>
          </w:tcPr>
          <w:p w14:paraId="02C178A4" w14:textId="77777777" w:rsidR="00966600" w:rsidRPr="008F7BB9" w:rsidRDefault="00966600" w:rsidP="004B0690">
            <w:pPr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color w:val="000000" w:themeColor="text1"/>
              </w:rPr>
              <w:t xml:space="preserve">Počet monitorovaných </w:t>
            </w:r>
            <w:r>
              <w:rPr>
                <w:bCs/>
                <w:color w:val="000000" w:themeColor="text1"/>
              </w:rPr>
              <w:t>budov</w:t>
            </w:r>
          </w:p>
        </w:tc>
        <w:tc>
          <w:tcPr>
            <w:tcW w:w="2552" w:type="dxa"/>
          </w:tcPr>
          <w:p w14:paraId="533DEB31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počet</w:t>
            </w:r>
          </w:p>
        </w:tc>
        <w:tc>
          <w:tcPr>
            <w:tcW w:w="2551" w:type="dxa"/>
          </w:tcPr>
          <w:p w14:paraId="097498D0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15 000</w:t>
            </w:r>
          </w:p>
        </w:tc>
        <w:tc>
          <w:tcPr>
            <w:tcW w:w="4394" w:type="dxa"/>
          </w:tcPr>
          <w:p w14:paraId="66ECC004" w14:textId="77777777" w:rsidR="00966600" w:rsidRPr="005445CE" w:rsidRDefault="00966600" w:rsidP="004B0690">
            <w:pPr>
              <w:jc w:val="center"/>
              <w:rPr>
                <w:bCs/>
                <w:color w:val="FF0000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N/A</w:t>
            </w:r>
          </w:p>
        </w:tc>
      </w:tr>
      <w:tr w:rsidR="00966600" w:rsidRPr="00CB474A" w14:paraId="34DDB5ED" w14:textId="77777777" w:rsidTr="00966600">
        <w:trPr>
          <w:trHeight w:val="76"/>
        </w:trPr>
        <w:tc>
          <w:tcPr>
            <w:tcW w:w="675" w:type="dxa"/>
          </w:tcPr>
          <w:p w14:paraId="4C30420F" w14:textId="77777777" w:rsidR="00966600" w:rsidRPr="008F7BB9" w:rsidRDefault="00966600" w:rsidP="004B0690">
            <w:pPr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4111" w:type="dxa"/>
          </w:tcPr>
          <w:p w14:paraId="72630FEA" w14:textId="3CF19CAC" w:rsidR="00966600" w:rsidRDefault="00966600" w:rsidP="00392131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Počet správ a analýz</w:t>
            </w:r>
          </w:p>
        </w:tc>
        <w:tc>
          <w:tcPr>
            <w:tcW w:w="2552" w:type="dxa"/>
          </w:tcPr>
          <w:p w14:paraId="5D66755F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počet</w:t>
            </w:r>
          </w:p>
        </w:tc>
        <w:tc>
          <w:tcPr>
            <w:tcW w:w="2551" w:type="dxa"/>
          </w:tcPr>
          <w:p w14:paraId="3EB1B6F9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 w:val="22"/>
              </w:rPr>
              <w:t>6</w:t>
            </w:r>
          </w:p>
        </w:tc>
        <w:tc>
          <w:tcPr>
            <w:tcW w:w="4394" w:type="dxa"/>
          </w:tcPr>
          <w:p w14:paraId="223A6266" w14:textId="77777777" w:rsidR="00966600" w:rsidRPr="005445CE" w:rsidRDefault="00966600" w:rsidP="004B0690">
            <w:pPr>
              <w:jc w:val="center"/>
              <w:rPr>
                <w:bCs/>
                <w:color w:val="000000" w:themeColor="text1"/>
                <w:szCs w:val="24"/>
              </w:rPr>
            </w:pPr>
            <w:r w:rsidRPr="005445CE">
              <w:rPr>
                <w:bCs/>
                <w:color w:val="000000" w:themeColor="text1"/>
                <w:szCs w:val="24"/>
              </w:rPr>
              <w:t>N/A</w:t>
            </w:r>
          </w:p>
        </w:tc>
      </w:tr>
    </w:tbl>
    <w:p w14:paraId="38991AE4" w14:textId="77777777" w:rsidR="00123971" w:rsidRDefault="00123971" w:rsidP="00C64948">
      <w:pPr>
        <w:spacing w:after="180" w:line="240" w:lineRule="auto"/>
      </w:pPr>
    </w:p>
    <w:tbl>
      <w:tblPr>
        <w:tblStyle w:val="Mriekatabuky"/>
        <w:tblW w:w="14284" w:type="dxa"/>
        <w:tblLook w:val="04A0" w:firstRow="1" w:lastRow="0" w:firstColumn="1" w:lastColumn="0" w:noHBand="0" w:noVBand="1"/>
      </w:tblPr>
      <w:tblGrid>
        <w:gridCol w:w="4102"/>
        <w:gridCol w:w="10182"/>
      </w:tblGrid>
      <w:tr w:rsidR="00123971" w:rsidRPr="00F74B96" w14:paraId="1A079C1F" w14:textId="77777777" w:rsidTr="00845131">
        <w:trPr>
          <w:trHeight w:val="330"/>
        </w:trPr>
        <w:tc>
          <w:tcPr>
            <w:tcW w:w="14284" w:type="dxa"/>
            <w:gridSpan w:val="2"/>
            <w:shd w:val="clear" w:color="auto" w:fill="CCC0D9" w:themeFill="accent4" w:themeFillTint="66"/>
            <w:hideMark/>
          </w:tcPr>
          <w:p w14:paraId="5E0C5437" w14:textId="6793F5E1" w:rsidR="00123971" w:rsidRPr="00F74B96" w:rsidRDefault="00BB3261" w:rsidP="00653FE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  <w:r w:rsidR="00123971">
              <w:rPr>
                <w:b/>
              </w:rPr>
              <w:t xml:space="preserve"> </w:t>
            </w:r>
            <w:r w:rsidR="00123971" w:rsidRPr="00F74B96">
              <w:rPr>
                <w:b/>
              </w:rPr>
              <w:t>Požadovaná výška NFP</w:t>
            </w:r>
          </w:p>
        </w:tc>
      </w:tr>
      <w:tr w:rsidR="00123971" w:rsidRPr="00DB2F89" w14:paraId="1D569784" w14:textId="77777777" w:rsidTr="00845131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0FD1872" w14:textId="77777777" w:rsidR="00123971" w:rsidRPr="00774A46" w:rsidRDefault="00123971" w:rsidP="00845131">
            <w:pPr>
              <w:rPr>
                <w:szCs w:val="24"/>
              </w:rPr>
            </w:pPr>
            <w:r w:rsidRPr="00774A46">
              <w:rPr>
                <w:szCs w:val="24"/>
              </w:rPr>
              <w:t>Celková výška oprávnených výdavkov (EUR)</w:t>
            </w:r>
          </w:p>
        </w:tc>
        <w:tc>
          <w:tcPr>
            <w:tcW w:w="10182" w:type="dxa"/>
          </w:tcPr>
          <w:p w14:paraId="6F50CB77" w14:textId="28C30A2B" w:rsidR="003175ED" w:rsidRDefault="003175ED" w:rsidP="003175ED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ZDROJE EU                     ŠR                 </w:t>
            </w:r>
            <w:r w:rsidR="004A12C7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 xml:space="preserve"> PRO RATA</w:t>
            </w:r>
            <w:r w:rsidR="004A12C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(ŠR)            </w:t>
            </w:r>
            <w:r w:rsidR="004A12C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    </w:t>
            </w:r>
            <w:r w:rsidRPr="003175ED">
              <w:rPr>
                <w:b/>
                <w:bCs/>
                <w:szCs w:val="24"/>
              </w:rPr>
              <w:t>SPOLU</w:t>
            </w:r>
          </w:p>
          <w:p w14:paraId="099A99D5" w14:textId="6489B008" w:rsidR="003175ED" w:rsidRPr="00C06ADB" w:rsidRDefault="003175ED" w:rsidP="003175ED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3 800 000</w:t>
            </w:r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670 588 EUR            561 591 EUR                  </w:t>
            </w:r>
            <w:r w:rsidRPr="003175ED">
              <w:rPr>
                <w:b/>
                <w:bCs/>
                <w:szCs w:val="24"/>
              </w:rPr>
              <w:t>5 032 179 EUR</w:t>
            </w:r>
          </w:p>
          <w:p w14:paraId="789F9651" w14:textId="4EF689B4" w:rsidR="00123971" w:rsidRPr="00895CE6" w:rsidRDefault="00123971" w:rsidP="003175ED">
            <w:pPr>
              <w:jc w:val="left"/>
              <w:rPr>
                <w:b/>
                <w:bCs/>
              </w:rPr>
            </w:pPr>
          </w:p>
        </w:tc>
      </w:tr>
      <w:tr w:rsidR="00123971" w:rsidRPr="002634A6" w14:paraId="1D98E060" w14:textId="77777777" w:rsidTr="00845131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1DFF609F" w14:textId="77777777" w:rsidR="00123971" w:rsidRPr="00774A46" w:rsidRDefault="00123971" w:rsidP="00845131">
            <w:pPr>
              <w:rPr>
                <w:szCs w:val="24"/>
              </w:rPr>
            </w:pPr>
            <w:r w:rsidRPr="00774A46">
              <w:rPr>
                <w:szCs w:val="24"/>
              </w:rPr>
              <w:t>Celková výška oprávnených výdavkov pre projekty generujúce príjem (EUR)</w:t>
            </w:r>
          </w:p>
        </w:tc>
        <w:tc>
          <w:tcPr>
            <w:tcW w:w="10182" w:type="dxa"/>
            <w:shd w:val="clear" w:color="auto" w:fill="FFFFFF" w:themeFill="background1"/>
          </w:tcPr>
          <w:p w14:paraId="692A7A0B" w14:textId="77777777" w:rsidR="00123971" w:rsidRPr="0024684D" w:rsidRDefault="00123971" w:rsidP="00845131">
            <w:pPr>
              <w:jc w:val="left"/>
              <w:rPr>
                <w:bCs/>
              </w:rPr>
            </w:pPr>
            <w:r w:rsidRPr="0024684D">
              <w:rPr>
                <w:bCs/>
              </w:rPr>
              <w:t>0 EUR</w:t>
            </w:r>
          </w:p>
        </w:tc>
      </w:tr>
      <w:tr w:rsidR="00123971" w:rsidRPr="00023429" w14:paraId="494F4C1E" w14:textId="77777777" w:rsidTr="00845131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CE47754" w14:textId="77777777" w:rsidR="00123971" w:rsidRPr="00F12278" w:rsidRDefault="00123971" w:rsidP="00845131">
            <w:pPr>
              <w:rPr>
                <w:szCs w:val="24"/>
              </w:rPr>
            </w:pPr>
            <w:r w:rsidRPr="00F12278">
              <w:rPr>
                <w:szCs w:val="24"/>
              </w:rPr>
              <w:t>Percento spolufinancovania zo zdrojov EU a ŠR (%)</w:t>
            </w:r>
          </w:p>
        </w:tc>
        <w:tc>
          <w:tcPr>
            <w:tcW w:w="10182" w:type="dxa"/>
          </w:tcPr>
          <w:p w14:paraId="33C28AB0" w14:textId="6CDB816A" w:rsidR="00123971" w:rsidRPr="0024684D" w:rsidRDefault="003175ED" w:rsidP="003175ED">
            <w:pPr>
              <w:jc w:val="left"/>
              <w:rPr>
                <w:sz w:val="18"/>
                <w:szCs w:val="18"/>
              </w:rPr>
            </w:pPr>
            <w:r w:rsidRPr="003175ED">
              <w:rPr>
                <w:bCs/>
              </w:rPr>
              <w:t xml:space="preserve">75,514 </w:t>
            </w:r>
            <w:r w:rsidR="0024684D" w:rsidRPr="003175ED">
              <w:rPr>
                <w:bCs/>
              </w:rPr>
              <w:t>%</w:t>
            </w:r>
            <w:r w:rsidR="00123971" w:rsidRPr="003175ED">
              <w:rPr>
                <w:bCs/>
              </w:rPr>
              <w:t xml:space="preserve"> </w:t>
            </w:r>
            <w:r w:rsidR="0024684D" w:rsidRPr="003175ED">
              <w:rPr>
                <w:bCs/>
              </w:rPr>
              <w:t>E</w:t>
            </w:r>
            <w:r w:rsidR="003E16C0" w:rsidRPr="003175ED">
              <w:rPr>
                <w:bCs/>
              </w:rPr>
              <w:t>U</w:t>
            </w:r>
            <w:r w:rsidR="0024684D" w:rsidRPr="003175ED">
              <w:rPr>
                <w:bCs/>
              </w:rPr>
              <w:t xml:space="preserve"> a</w:t>
            </w:r>
            <w:r w:rsidR="00DA7EF3" w:rsidRPr="003175ED">
              <w:rPr>
                <w:bCs/>
              </w:rPr>
              <w:t> </w:t>
            </w:r>
            <w:r w:rsidRPr="003175ED">
              <w:rPr>
                <w:bCs/>
              </w:rPr>
              <w:t xml:space="preserve">13,326 </w:t>
            </w:r>
            <w:r w:rsidR="0024684D" w:rsidRPr="003175ED">
              <w:rPr>
                <w:bCs/>
              </w:rPr>
              <w:t>% ŠR</w:t>
            </w:r>
            <w:r>
              <w:rPr>
                <w:bCs/>
              </w:rPr>
              <w:t xml:space="preserve"> a 11,16 % PRO RATA (ŠR)</w:t>
            </w:r>
          </w:p>
        </w:tc>
      </w:tr>
      <w:tr w:rsidR="00123971" w:rsidRPr="00F74B96" w14:paraId="0C25041D" w14:textId="77777777" w:rsidTr="00845131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227EDFF" w14:textId="77777777" w:rsidR="00123971" w:rsidRPr="00774A46" w:rsidRDefault="00123971" w:rsidP="00845131">
            <w:pPr>
              <w:rPr>
                <w:szCs w:val="24"/>
              </w:rPr>
            </w:pPr>
            <w:r w:rsidRPr="00774A46">
              <w:rPr>
                <w:szCs w:val="24"/>
              </w:rPr>
              <w:t>Žiadaná výška nenávratného finančného príspevku (EUR)</w:t>
            </w:r>
          </w:p>
        </w:tc>
        <w:tc>
          <w:tcPr>
            <w:tcW w:w="10182" w:type="dxa"/>
          </w:tcPr>
          <w:p w14:paraId="50DE8D6C" w14:textId="436E7D8C" w:rsidR="003175ED" w:rsidRDefault="003175ED" w:rsidP="003175ED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ZDROJE EU                     ŠR            </w:t>
            </w:r>
            <w:r w:rsidR="004A12C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 </w:t>
            </w:r>
            <w:r w:rsidR="004A12C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   PRO RATA</w:t>
            </w:r>
            <w:r w:rsidR="004A12C7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(ŠR)                  </w:t>
            </w:r>
            <w:r w:rsidRPr="003175ED">
              <w:rPr>
                <w:b/>
                <w:bCs/>
                <w:szCs w:val="24"/>
              </w:rPr>
              <w:t>SPOLU</w:t>
            </w:r>
          </w:p>
          <w:p w14:paraId="50E213F8" w14:textId="01073AA1" w:rsidR="00123971" w:rsidRPr="0024684D" w:rsidRDefault="003175ED" w:rsidP="003175ED">
            <w:pPr>
              <w:jc w:val="left"/>
            </w:pPr>
            <w:r>
              <w:rPr>
                <w:bCs/>
                <w:szCs w:val="24"/>
              </w:rPr>
              <w:t>3 800 000</w:t>
            </w:r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670 588 EUR            561 591 EUR                  </w:t>
            </w:r>
            <w:r w:rsidRPr="003175ED">
              <w:rPr>
                <w:b/>
                <w:bCs/>
                <w:szCs w:val="24"/>
              </w:rPr>
              <w:t>5 032 179 EUR</w:t>
            </w:r>
          </w:p>
        </w:tc>
      </w:tr>
      <w:tr w:rsidR="00123971" w:rsidRPr="00F74B96" w14:paraId="5407CAD5" w14:textId="77777777" w:rsidTr="00845131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31B900D" w14:textId="77777777" w:rsidR="00123971" w:rsidRPr="00774A46" w:rsidRDefault="00123971" w:rsidP="00845131">
            <w:pPr>
              <w:rPr>
                <w:szCs w:val="24"/>
              </w:rPr>
            </w:pPr>
            <w:r w:rsidRPr="00774A46">
              <w:rPr>
                <w:szCs w:val="24"/>
              </w:rPr>
              <w:t>Výška spolufinancovania z vlastných zdrojov žiadateľa (EUR)</w:t>
            </w:r>
          </w:p>
        </w:tc>
        <w:tc>
          <w:tcPr>
            <w:tcW w:w="10182" w:type="dxa"/>
          </w:tcPr>
          <w:p w14:paraId="5371E916" w14:textId="77777777" w:rsidR="00123971" w:rsidRPr="0024684D" w:rsidRDefault="00123971" w:rsidP="00845131">
            <w:pPr>
              <w:jc w:val="left"/>
            </w:pPr>
            <w:r w:rsidRPr="0024684D">
              <w:rPr>
                <w:bCs/>
              </w:rPr>
              <w:t xml:space="preserve"> 0 EUR</w:t>
            </w:r>
          </w:p>
        </w:tc>
      </w:tr>
    </w:tbl>
    <w:p w14:paraId="49FD360E" w14:textId="77777777" w:rsidR="00123971" w:rsidRDefault="00123971" w:rsidP="006E171D">
      <w:pPr>
        <w:spacing w:after="0" w:line="240" w:lineRule="auto"/>
      </w:pPr>
    </w:p>
    <w:sectPr w:rsidR="00123971" w:rsidSect="0054128E">
      <w:headerReference w:type="default" r:id="rId15"/>
      <w:footerReference w:type="default" r:id="rId16"/>
      <w:pgSz w:w="16838" w:h="11906" w:orient="landscape"/>
      <w:pgMar w:top="1276" w:right="1418" w:bottom="1276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028195" w15:done="0"/>
  <w15:commentEx w15:paraId="097AF264" w15:done="0"/>
  <w15:commentEx w15:paraId="148AAF95" w15:done="0"/>
  <w15:commentEx w15:paraId="277EAACA" w15:done="0"/>
  <w15:commentEx w15:paraId="416AE2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0EC29" w14:textId="77777777" w:rsidR="00023FF1" w:rsidRDefault="00023FF1" w:rsidP="00297396">
      <w:pPr>
        <w:spacing w:after="0" w:line="240" w:lineRule="auto"/>
      </w:pPr>
      <w:r>
        <w:separator/>
      </w:r>
    </w:p>
  </w:endnote>
  <w:endnote w:type="continuationSeparator" w:id="0">
    <w:p w14:paraId="70278CCE" w14:textId="77777777" w:rsidR="00023FF1" w:rsidRDefault="00023FF1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6082D" w14:textId="77777777" w:rsidR="001768FB" w:rsidRPr="00016F1C" w:rsidRDefault="001768F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08C6FC" wp14:editId="0CC669D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28EF2EC" id="Rovná spojnica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SIIQIAACQEAAAOAAAAZHJzL2Uyb0RvYy54bWysU0tu2zAQ3RfoHQjua8ly7LqC5aCIkW6C&#10;Noj7WY8pSmJLkQRJW/ZxepZeLDOU6ybNrqgWBOfDN+/NjFbXx16zg/RBWVPx6STnTBpha2Xain/5&#10;fPtmyVmIYGrQ1siKn2Tg1+vXr1aDK2VhO6tr6RmCmFAOruJdjK7MsiA62UOYWCcNBhvre4ho+jar&#10;PQyI3uusyPNFNlhfO2+FDAG9mzHI1wm/aaSIn5omyMh0xZFbTKdP547ObL2CsvXgOiXONOAfWPSg&#10;DBa9QG0gAtt79QKqV8LbYJs4EbbPbNMoIZMGVDPN/1Kz7cDJpAWbE9ylTeH/wYqPh3vPVI2zKzgz&#10;0OOMHuzB/PrJgrPfjRLAMIJtGlwoMfvG3HsSKo5m6+6s+BEwlj0LkhHcmHZsfM8ardxXrJA6hJrZ&#10;MQ3gdBmAPEYm0Dl/uygWxZwzgbF3c7wROJSEQkWdD/GDtD2jS8W1MtQeKOFwF+KY+juF3MbeKq3R&#10;D6U2bKj4bDnNcQsE4KY1GiJee4fag2k5A93iCovoE2SwWtX0nF4H3+5utGcHwDVa5our96klyOxZ&#10;GtXeQOjGvBQ6C9CGYGRaSKRKht1H6bddPbCd3vsHQBpXOX6c1YrEFbOzgds6TxEMeRu/qdilxaDu&#10;vSBHCIhBftCug5HKbE7OsUFnLamvFw7JekIvDXScIU1zZ+vTvaf3ZOEqpvzzb0O7/tROWX9+7vUj&#10;AAAA//8DAFBLAwQUAAYACAAAACEAFUK1lN8AAAAHAQAADwAAAGRycy9kb3ducmV2LnhtbEyPzU7D&#10;MBCE70i8g7VI3FqniehPiFNREKrUQwWlQuLmxkscEa+j2E3D27Oc4La7M5r9pliPrhUD9qHxpGA2&#10;TUAgVd40VCs4vj1PliBC1GR06wkVfGOAdXl9Vejc+Au94nCIteAQCrlWYGPscilDZdHpMPUdEmuf&#10;vnc68trX0vT6wuGulWmSzKXTDfEHqzt8tFh9Hc5OwfYF9+/1ZrEbljuXZk+zrf3YZErd3owP9yAi&#10;jvHPDL/4jA4lM538mUwQrYLJgo0K0owLsLxK5jyc+HCXgSwL+Z+//AEAAP//AwBQSwECLQAUAAYA&#10;CAAAACEAtoM4kv4AAADhAQAAEwAAAAAAAAAAAAAAAAAAAAAAW0NvbnRlbnRfVHlwZXNdLnhtbFBL&#10;AQItABQABgAIAAAAIQA4/SH/1gAAAJQBAAALAAAAAAAAAAAAAAAAAC8BAABfcmVscy8ucmVsc1BL&#10;AQItABQABgAIAAAAIQAv1WSIIQIAACQEAAAOAAAAAAAAAAAAAAAAAC4CAABkcnMvZTJvRG9jLnht&#10;bFBLAQItABQABgAIAAAAIQAVQrWU3wAAAAcBAAAPAAAAAAAAAAAAAAAAAHsEAABkcnMvZG93bnJl&#10;di54bWxQSwUGAAAAAAQABADzAAAAhw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5D947CD0" w14:textId="77777777" w:rsidR="001768FB" w:rsidRDefault="001768F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A30DA9">
      <w:rPr>
        <w:rFonts w:eastAsia="Times New Roman" w:cs="Times New Roman"/>
        <w:noProof/>
        <w:szCs w:val="24"/>
        <w:lang w:eastAsia="sk-SK"/>
      </w:rPr>
      <w:t>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248528EE" w14:textId="77777777" w:rsidR="001768FB" w:rsidRPr="00016F1C" w:rsidRDefault="001768F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01EA8" w14:textId="77777777" w:rsidR="001768FB" w:rsidRPr="00570367" w:rsidRDefault="001768F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B3A8F" w14:textId="77777777" w:rsidR="00023FF1" w:rsidRDefault="00023FF1" w:rsidP="00297396">
      <w:pPr>
        <w:spacing w:after="0" w:line="240" w:lineRule="auto"/>
      </w:pPr>
      <w:r>
        <w:separator/>
      </w:r>
    </w:p>
  </w:footnote>
  <w:footnote w:type="continuationSeparator" w:id="0">
    <w:p w14:paraId="12B8C21A" w14:textId="77777777" w:rsidR="00023FF1" w:rsidRDefault="00023FF1" w:rsidP="00297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F236B" w14:textId="77777777" w:rsidR="001768FB" w:rsidRDefault="001768F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AF0"/>
    <w:multiLevelType w:val="hybridMultilevel"/>
    <w:tmpl w:val="27D80678"/>
    <w:lvl w:ilvl="0" w:tplc="AA8091D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0F3E"/>
    <w:multiLevelType w:val="hybridMultilevel"/>
    <w:tmpl w:val="CAE66D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3B15C4"/>
    <w:multiLevelType w:val="hybridMultilevel"/>
    <w:tmpl w:val="4D88DABC"/>
    <w:lvl w:ilvl="0" w:tplc="6EBA3F86">
      <w:start w:val="6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77A92"/>
    <w:multiLevelType w:val="hybridMultilevel"/>
    <w:tmpl w:val="49D26470"/>
    <w:lvl w:ilvl="0" w:tplc="A3A0DD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600DC"/>
    <w:multiLevelType w:val="hybridMultilevel"/>
    <w:tmpl w:val="2536E0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720EC"/>
    <w:multiLevelType w:val="hybridMultilevel"/>
    <w:tmpl w:val="65063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>
    <w:nsid w:val="3DDF50F5"/>
    <w:multiLevelType w:val="hybridMultilevel"/>
    <w:tmpl w:val="B6E01C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C1D70"/>
    <w:multiLevelType w:val="multilevel"/>
    <w:tmpl w:val="6122A92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0" w:hanging="660"/>
      </w:pPr>
      <w:rPr>
        <w:rFonts w:hint="default"/>
      </w:rPr>
    </w:lvl>
    <w:lvl w:ilvl="2">
      <w:numFmt w:val="decimal"/>
      <w:lvlText w:val="%1.%2.%3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653C6CE0"/>
    <w:multiLevelType w:val="hybridMultilevel"/>
    <w:tmpl w:val="6D885C38"/>
    <w:lvl w:ilvl="0" w:tplc="060A1C7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135FFE"/>
    <w:multiLevelType w:val="hybridMultilevel"/>
    <w:tmpl w:val="D5FCA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03CF1"/>
    <w:multiLevelType w:val="hybridMultilevel"/>
    <w:tmpl w:val="81DE9F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E0764"/>
    <w:multiLevelType w:val="hybridMultilevel"/>
    <w:tmpl w:val="898E8D96"/>
    <w:lvl w:ilvl="0" w:tplc="507E4A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5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11"/>
  </w:num>
  <w:num w:numId="10">
    <w:abstractNumId w:val="8"/>
  </w:num>
  <w:num w:numId="11">
    <w:abstractNumId w:val="16"/>
  </w:num>
  <w:num w:numId="12">
    <w:abstractNumId w:val="1"/>
  </w:num>
  <w:num w:numId="13">
    <w:abstractNumId w:val="4"/>
  </w:num>
  <w:num w:numId="14">
    <w:abstractNumId w:val="12"/>
  </w:num>
  <w:num w:numId="15">
    <w:abstractNumId w:val="6"/>
  </w:num>
  <w:num w:numId="16">
    <w:abstractNumId w:val="13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alová Danka">
    <w15:presenceInfo w15:providerId="AD" w15:userId="S-1-5-21-390540759-788030774-433219294-10492"/>
  </w15:person>
  <w15:person w15:author="demo22">
    <w15:presenceInfo w15:providerId="None" w15:userId="demo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3374"/>
    <w:rsid w:val="00007732"/>
    <w:rsid w:val="000147DC"/>
    <w:rsid w:val="00016F1C"/>
    <w:rsid w:val="0002093C"/>
    <w:rsid w:val="00020955"/>
    <w:rsid w:val="00022D25"/>
    <w:rsid w:val="00023429"/>
    <w:rsid w:val="00023FF1"/>
    <w:rsid w:val="0003068C"/>
    <w:rsid w:val="00040DCD"/>
    <w:rsid w:val="00044577"/>
    <w:rsid w:val="00045510"/>
    <w:rsid w:val="00045534"/>
    <w:rsid w:val="00047992"/>
    <w:rsid w:val="00050160"/>
    <w:rsid w:val="00050586"/>
    <w:rsid w:val="00053993"/>
    <w:rsid w:val="00054CDE"/>
    <w:rsid w:val="0005576D"/>
    <w:rsid w:val="00057CA3"/>
    <w:rsid w:val="00061D73"/>
    <w:rsid w:val="00062B88"/>
    <w:rsid w:val="00063F85"/>
    <w:rsid w:val="00067E9E"/>
    <w:rsid w:val="0007615D"/>
    <w:rsid w:val="00076FC2"/>
    <w:rsid w:val="000806BF"/>
    <w:rsid w:val="000829F0"/>
    <w:rsid w:val="000867A3"/>
    <w:rsid w:val="0008771C"/>
    <w:rsid w:val="00091064"/>
    <w:rsid w:val="00095621"/>
    <w:rsid w:val="000A3DB4"/>
    <w:rsid w:val="000B0D94"/>
    <w:rsid w:val="000B674B"/>
    <w:rsid w:val="000C0700"/>
    <w:rsid w:val="000C0D6B"/>
    <w:rsid w:val="000C1406"/>
    <w:rsid w:val="000C3731"/>
    <w:rsid w:val="000C3D17"/>
    <w:rsid w:val="000C59FA"/>
    <w:rsid w:val="000D580C"/>
    <w:rsid w:val="000E0B5C"/>
    <w:rsid w:val="000E4433"/>
    <w:rsid w:val="000E743B"/>
    <w:rsid w:val="000E7AFD"/>
    <w:rsid w:val="000F20F4"/>
    <w:rsid w:val="000F31E6"/>
    <w:rsid w:val="000F396A"/>
    <w:rsid w:val="000F3C04"/>
    <w:rsid w:val="000F4C4E"/>
    <w:rsid w:val="00101E46"/>
    <w:rsid w:val="001058C1"/>
    <w:rsid w:val="0011006E"/>
    <w:rsid w:val="00117B7A"/>
    <w:rsid w:val="00122869"/>
    <w:rsid w:val="00123971"/>
    <w:rsid w:val="00136037"/>
    <w:rsid w:val="001407E8"/>
    <w:rsid w:val="00144649"/>
    <w:rsid w:val="0015020B"/>
    <w:rsid w:val="00161BE7"/>
    <w:rsid w:val="0016773B"/>
    <w:rsid w:val="00170403"/>
    <w:rsid w:val="001707F9"/>
    <w:rsid w:val="0017235D"/>
    <w:rsid w:val="0017269C"/>
    <w:rsid w:val="001768FB"/>
    <w:rsid w:val="00181234"/>
    <w:rsid w:val="00187140"/>
    <w:rsid w:val="00187776"/>
    <w:rsid w:val="001917AD"/>
    <w:rsid w:val="00192300"/>
    <w:rsid w:val="001A3CF3"/>
    <w:rsid w:val="001A69BA"/>
    <w:rsid w:val="001B15BC"/>
    <w:rsid w:val="001B33B0"/>
    <w:rsid w:val="001B3705"/>
    <w:rsid w:val="001C645B"/>
    <w:rsid w:val="001D5F6B"/>
    <w:rsid w:val="001E1A96"/>
    <w:rsid w:val="001E4E4D"/>
    <w:rsid w:val="001F0635"/>
    <w:rsid w:val="001F0CE1"/>
    <w:rsid w:val="0020046A"/>
    <w:rsid w:val="00204701"/>
    <w:rsid w:val="00211F29"/>
    <w:rsid w:val="00213FFE"/>
    <w:rsid w:val="00215499"/>
    <w:rsid w:val="002202ED"/>
    <w:rsid w:val="00220D0F"/>
    <w:rsid w:val="00221988"/>
    <w:rsid w:val="00222F70"/>
    <w:rsid w:val="002279C7"/>
    <w:rsid w:val="00231613"/>
    <w:rsid w:val="00231C62"/>
    <w:rsid w:val="00235C4A"/>
    <w:rsid w:val="00236F82"/>
    <w:rsid w:val="00240C5A"/>
    <w:rsid w:val="00244804"/>
    <w:rsid w:val="0024684D"/>
    <w:rsid w:val="0025567F"/>
    <w:rsid w:val="002559F0"/>
    <w:rsid w:val="002632B0"/>
    <w:rsid w:val="002634A6"/>
    <w:rsid w:val="00274521"/>
    <w:rsid w:val="00274AF2"/>
    <w:rsid w:val="00282C07"/>
    <w:rsid w:val="00283470"/>
    <w:rsid w:val="0028424D"/>
    <w:rsid w:val="00285A09"/>
    <w:rsid w:val="00285FFB"/>
    <w:rsid w:val="0028725A"/>
    <w:rsid w:val="00291291"/>
    <w:rsid w:val="00297396"/>
    <w:rsid w:val="002A0826"/>
    <w:rsid w:val="002A0E97"/>
    <w:rsid w:val="002A6EF9"/>
    <w:rsid w:val="002B0E48"/>
    <w:rsid w:val="002B43F1"/>
    <w:rsid w:val="002B66EF"/>
    <w:rsid w:val="002B690D"/>
    <w:rsid w:val="002C4DEF"/>
    <w:rsid w:val="002D27A9"/>
    <w:rsid w:val="002E1499"/>
    <w:rsid w:val="002E5EB4"/>
    <w:rsid w:val="002E69A1"/>
    <w:rsid w:val="002F1806"/>
    <w:rsid w:val="002F393A"/>
    <w:rsid w:val="00300710"/>
    <w:rsid w:val="003007BA"/>
    <w:rsid w:val="00304BD2"/>
    <w:rsid w:val="0031484B"/>
    <w:rsid w:val="003153B2"/>
    <w:rsid w:val="003175ED"/>
    <w:rsid w:val="003236CA"/>
    <w:rsid w:val="003256B5"/>
    <w:rsid w:val="0033242B"/>
    <w:rsid w:val="00335FF6"/>
    <w:rsid w:val="0033719C"/>
    <w:rsid w:val="00340992"/>
    <w:rsid w:val="00340D3A"/>
    <w:rsid w:val="00343F2B"/>
    <w:rsid w:val="00344F28"/>
    <w:rsid w:val="00346F2F"/>
    <w:rsid w:val="00350BD6"/>
    <w:rsid w:val="00353687"/>
    <w:rsid w:val="00353A75"/>
    <w:rsid w:val="003578E0"/>
    <w:rsid w:val="00362073"/>
    <w:rsid w:val="00362BF7"/>
    <w:rsid w:val="00366808"/>
    <w:rsid w:val="0037601F"/>
    <w:rsid w:val="00377856"/>
    <w:rsid w:val="0038109F"/>
    <w:rsid w:val="00385527"/>
    <w:rsid w:val="00387DF4"/>
    <w:rsid w:val="00392131"/>
    <w:rsid w:val="00393BEF"/>
    <w:rsid w:val="0039409A"/>
    <w:rsid w:val="00395A68"/>
    <w:rsid w:val="00395FE2"/>
    <w:rsid w:val="003A67A8"/>
    <w:rsid w:val="003A69DA"/>
    <w:rsid w:val="003A6D6C"/>
    <w:rsid w:val="003B15F0"/>
    <w:rsid w:val="003B3062"/>
    <w:rsid w:val="003B3437"/>
    <w:rsid w:val="003B6F8C"/>
    <w:rsid w:val="003C14CE"/>
    <w:rsid w:val="003C5A24"/>
    <w:rsid w:val="003C7928"/>
    <w:rsid w:val="003D39F0"/>
    <w:rsid w:val="003D5709"/>
    <w:rsid w:val="003E082A"/>
    <w:rsid w:val="003E16C0"/>
    <w:rsid w:val="003E3C3B"/>
    <w:rsid w:val="003E623A"/>
    <w:rsid w:val="003F089E"/>
    <w:rsid w:val="003F1257"/>
    <w:rsid w:val="00401CA0"/>
    <w:rsid w:val="00412446"/>
    <w:rsid w:val="0041313E"/>
    <w:rsid w:val="004138A6"/>
    <w:rsid w:val="00417242"/>
    <w:rsid w:val="004172EC"/>
    <w:rsid w:val="0041755A"/>
    <w:rsid w:val="0042131C"/>
    <w:rsid w:val="00425861"/>
    <w:rsid w:val="00426502"/>
    <w:rsid w:val="00426850"/>
    <w:rsid w:val="004302E5"/>
    <w:rsid w:val="00431169"/>
    <w:rsid w:val="0043345E"/>
    <w:rsid w:val="004336D9"/>
    <w:rsid w:val="00435600"/>
    <w:rsid w:val="00437C2C"/>
    <w:rsid w:val="004411C1"/>
    <w:rsid w:val="00445389"/>
    <w:rsid w:val="004462AE"/>
    <w:rsid w:val="0045010D"/>
    <w:rsid w:val="00452DA3"/>
    <w:rsid w:val="00460EA0"/>
    <w:rsid w:val="00464C14"/>
    <w:rsid w:val="004660ED"/>
    <w:rsid w:val="00473F9B"/>
    <w:rsid w:val="00474301"/>
    <w:rsid w:val="0048098E"/>
    <w:rsid w:val="00481B35"/>
    <w:rsid w:val="00484EC7"/>
    <w:rsid w:val="0049243C"/>
    <w:rsid w:val="004A12C7"/>
    <w:rsid w:val="004A6D1F"/>
    <w:rsid w:val="004B017D"/>
    <w:rsid w:val="004B0690"/>
    <w:rsid w:val="004B3481"/>
    <w:rsid w:val="004C627B"/>
    <w:rsid w:val="004C6835"/>
    <w:rsid w:val="004C7EC1"/>
    <w:rsid w:val="004D05FD"/>
    <w:rsid w:val="004D198B"/>
    <w:rsid w:val="004D25E1"/>
    <w:rsid w:val="004D393A"/>
    <w:rsid w:val="004D426D"/>
    <w:rsid w:val="004D433B"/>
    <w:rsid w:val="004E1D76"/>
    <w:rsid w:val="004E60E8"/>
    <w:rsid w:val="004F7FE5"/>
    <w:rsid w:val="0050155A"/>
    <w:rsid w:val="0050720C"/>
    <w:rsid w:val="00510642"/>
    <w:rsid w:val="00512D39"/>
    <w:rsid w:val="0051595D"/>
    <w:rsid w:val="00515DA3"/>
    <w:rsid w:val="005206F0"/>
    <w:rsid w:val="00520771"/>
    <w:rsid w:val="0052269D"/>
    <w:rsid w:val="00523744"/>
    <w:rsid w:val="0052679E"/>
    <w:rsid w:val="00527A99"/>
    <w:rsid w:val="005323E0"/>
    <w:rsid w:val="0054128E"/>
    <w:rsid w:val="00541310"/>
    <w:rsid w:val="005445CE"/>
    <w:rsid w:val="00544AFE"/>
    <w:rsid w:val="00545797"/>
    <w:rsid w:val="00547497"/>
    <w:rsid w:val="0055193A"/>
    <w:rsid w:val="00552F02"/>
    <w:rsid w:val="00554C3B"/>
    <w:rsid w:val="00561986"/>
    <w:rsid w:val="00562BBC"/>
    <w:rsid w:val="00563B37"/>
    <w:rsid w:val="00567190"/>
    <w:rsid w:val="00570367"/>
    <w:rsid w:val="00574DEF"/>
    <w:rsid w:val="00584D11"/>
    <w:rsid w:val="005947C0"/>
    <w:rsid w:val="005954D3"/>
    <w:rsid w:val="005A0719"/>
    <w:rsid w:val="005A39C6"/>
    <w:rsid w:val="005A7EBA"/>
    <w:rsid w:val="005B6CA0"/>
    <w:rsid w:val="005C0B4C"/>
    <w:rsid w:val="005C60B7"/>
    <w:rsid w:val="005D0AE5"/>
    <w:rsid w:val="005D7349"/>
    <w:rsid w:val="005E01D4"/>
    <w:rsid w:val="005E1820"/>
    <w:rsid w:val="005E4C1B"/>
    <w:rsid w:val="005F070F"/>
    <w:rsid w:val="005F30B4"/>
    <w:rsid w:val="005F3DBD"/>
    <w:rsid w:val="005F569C"/>
    <w:rsid w:val="0060228F"/>
    <w:rsid w:val="0060693E"/>
    <w:rsid w:val="006118BF"/>
    <w:rsid w:val="006135CB"/>
    <w:rsid w:val="006152E3"/>
    <w:rsid w:val="00616F2A"/>
    <w:rsid w:val="006206D6"/>
    <w:rsid w:val="00622C4C"/>
    <w:rsid w:val="00622D70"/>
    <w:rsid w:val="006236C8"/>
    <w:rsid w:val="00626EC1"/>
    <w:rsid w:val="00632072"/>
    <w:rsid w:val="00633910"/>
    <w:rsid w:val="00633E14"/>
    <w:rsid w:val="0063473E"/>
    <w:rsid w:val="00635FE4"/>
    <w:rsid w:val="00643131"/>
    <w:rsid w:val="00646F20"/>
    <w:rsid w:val="00647E4A"/>
    <w:rsid w:val="006500F5"/>
    <w:rsid w:val="00653FEB"/>
    <w:rsid w:val="00654216"/>
    <w:rsid w:val="00660B99"/>
    <w:rsid w:val="00661495"/>
    <w:rsid w:val="006670FF"/>
    <w:rsid w:val="00667737"/>
    <w:rsid w:val="00671B69"/>
    <w:rsid w:val="00671E70"/>
    <w:rsid w:val="006724E3"/>
    <w:rsid w:val="00692B09"/>
    <w:rsid w:val="006937CF"/>
    <w:rsid w:val="006963B8"/>
    <w:rsid w:val="006A1935"/>
    <w:rsid w:val="006A1986"/>
    <w:rsid w:val="006A1AFD"/>
    <w:rsid w:val="006A61FE"/>
    <w:rsid w:val="006B2180"/>
    <w:rsid w:val="006C00A0"/>
    <w:rsid w:val="006D02DA"/>
    <w:rsid w:val="006D05B0"/>
    <w:rsid w:val="006D39BC"/>
    <w:rsid w:val="006E171D"/>
    <w:rsid w:val="006E1F75"/>
    <w:rsid w:val="006E3561"/>
    <w:rsid w:val="006E3DC4"/>
    <w:rsid w:val="006E43AB"/>
    <w:rsid w:val="006F6D50"/>
    <w:rsid w:val="006F6E13"/>
    <w:rsid w:val="00703B59"/>
    <w:rsid w:val="0070485B"/>
    <w:rsid w:val="007101C3"/>
    <w:rsid w:val="00712B17"/>
    <w:rsid w:val="00713950"/>
    <w:rsid w:val="007244F0"/>
    <w:rsid w:val="0073103C"/>
    <w:rsid w:val="007314FF"/>
    <w:rsid w:val="00732A40"/>
    <w:rsid w:val="007337EB"/>
    <w:rsid w:val="007342CD"/>
    <w:rsid w:val="007343A1"/>
    <w:rsid w:val="00736C40"/>
    <w:rsid w:val="00751829"/>
    <w:rsid w:val="00760129"/>
    <w:rsid w:val="00760313"/>
    <w:rsid w:val="00760DE9"/>
    <w:rsid w:val="00765619"/>
    <w:rsid w:val="00770E30"/>
    <w:rsid w:val="00774895"/>
    <w:rsid w:val="00774A46"/>
    <w:rsid w:val="00783CD9"/>
    <w:rsid w:val="007946AE"/>
    <w:rsid w:val="00795BC3"/>
    <w:rsid w:val="007A0051"/>
    <w:rsid w:val="007A1920"/>
    <w:rsid w:val="007A4478"/>
    <w:rsid w:val="007A74ED"/>
    <w:rsid w:val="007B3E5C"/>
    <w:rsid w:val="007C0688"/>
    <w:rsid w:val="007C2E4A"/>
    <w:rsid w:val="007C68EA"/>
    <w:rsid w:val="007D1BCF"/>
    <w:rsid w:val="007D2C30"/>
    <w:rsid w:val="007D343D"/>
    <w:rsid w:val="007E2824"/>
    <w:rsid w:val="007E285C"/>
    <w:rsid w:val="007E2B37"/>
    <w:rsid w:val="007E77AE"/>
    <w:rsid w:val="007F1341"/>
    <w:rsid w:val="007F4249"/>
    <w:rsid w:val="007F6A2D"/>
    <w:rsid w:val="00807E7B"/>
    <w:rsid w:val="00821D98"/>
    <w:rsid w:val="00822304"/>
    <w:rsid w:val="008261D6"/>
    <w:rsid w:val="00833BAC"/>
    <w:rsid w:val="00835E59"/>
    <w:rsid w:val="008428F0"/>
    <w:rsid w:val="0085134E"/>
    <w:rsid w:val="00865D5F"/>
    <w:rsid w:val="0086645E"/>
    <w:rsid w:val="008719EE"/>
    <w:rsid w:val="00871B13"/>
    <w:rsid w:val="00874F37"/>
    <w:rsid w:val="0087664A"/>
    <w:rsid w:val="00876F34"/>
    <w:rsid w:val="0088170D"/>
    <w:rsid w:val="008824A7"/>
    <w:rsid w:val="00884808"/>
    <w:rsid w:val="00893C9D"/>
    <w:rsid w:val="00895CE6"/>
    <w:rsid w:val="008A293F"/>
    <w:rsid w:val="008A4731"/>
    <w:rsid w:val="008B46A9"/>
    <w:rsid w:val="008D24FD"/>
    <w:rsid w:val="008D3E8A"/>
    <w:rsid w:val="008D6D59"/>
    <w:rsid w:val="008E673A"/>
    <w:rsid w:val="008F0949"/>
    <w:rsid w:val="008F3D66"/>
    <w:rsid w:val="008F7BB9"/>
    <w:rsid w:val="00900594"/>
    <w:rsid w:val="00913E3B"/>
    <w:rsid w:val="0091485F"/>
    <w:rsid w:val="00921E3B"/>
    <w:rsid w:val="0093580E"/>
    <w:rsid w:val="00944D88"/>
    <w:rsid w:val="00951DEF"/>
    <w:rsid w:val="00962DE0"/>
    <w:rsid w:val="00964D37"/>
    <w:rsid w:val="00966600"/>
    <w:rsid w:val="00966A12"/>
    <w:rsid w:val="00972CA6"/>
    <w:rsid w:val="00980020"/>
    <w:rsid w:val="0099018A"/>
    <w:rsid w:val="009971F4"/>
    <w:rsid w:val="009A05D5"/>
    <w:rsid w:val="009A197D"/>
    <w:rsid w:val="009A1B15"/>
    <w:rsid w:val="009A1E8E"/>
    <w:rsid w:val="009A3508"/>
    <w:rsid w:val="009A3AC1"/>
    <w:rsid w:val="009A3FB5"/>
    <w:rsid w:val="009B015C"/>
    <w:rsid w:val="009B1846"/>
    <w:rsid w:val="009B6F18"/>
    <w:rsid w:val="009B6F8F"/>
    <w:rsid w:val="009C0B8A"/>
    <w:rsid w:val="009C2617"/>
    <w:rsid w:val="009C4340"/>
    <w:rsid w:val="009D08D3"/>
    <w:rsid w:val="009D314B"/>
    <w:rsid w:val="009D5A45"/>
    <w:rsid w:val="009D6C4F"/>
    <w:rsid w:val="009E017D"/>
    <w:rsid w:val="009E220F"/>
    <w:rsid w:val="009E4417"/>
    <w:rsid w:val="009E6F56"/>
    <w:rsid w:val="009F10E1"/>
    <w:rsid w:val="009F15FF"/>
    <w:rsid w:val="009F24DE"/>
    <w:rsid w:val="009F2685"/>
    <w:rsid w:val="009F2D01"/>
    <w:rsid w:val="009F7DA1"/>
    <w:rsid w:val="009F7F4C"/>
    <w:rsid w:val="00A144FB"/>
    <w:rsid w:val="00A154A6"/>
    <w:rsid w:val="00A209BB"/>
    <w:rsid w:val="00A21F40"/>
    <w:rsid w:val="00A23BE3"/>
    <w:rsid w:val="00A25A6D"/>
    <w:rsid w:val="00A2689E"/>
    <w:rsid w:val="00A26ADC"/>
    <w:rsid w:val="00A3047B"/>
    <w:rsid w:val="00A30DA9"/>
    <w:rsid w:val="00A32D83"/>
    <w:rsid w:val="00A35DA0"/>
    <w:rsid w:val="00A363C4"/>
    <w:rsid w:val="00A53490"/>
    <w:rsid w:val="00A572C3"/>
    <w:rsid w:val="00A57E18"/>
    <w:rsid w:val="00A60DD7"/>
    <w:rsid w:val="00A6173A"/>
    <w:rsid w:val="00A65F9C"/>
    <w:rsid w:val="00A71082"/>
    <w:rsid w:val="00A7743C"/>
    <w:rsid w:val="00A82E6A"/>
    <w:rsid w:val="00A84EAF"/>
    <w:rsid w:val="00A85EF8"/>
    <w:rsid w:val="00A9088F"/>
    <w:rsid w:val="00AA4322"/>
    <w:rsid w:val="00AA7F3F"/>
    <w:rsid w:val="00AB04FC"/>
    <w:rsid w:val="00AB2DB9"/>
    <w:rsid w:val="00AB77E1"/>
    <w:rsid w:val="00AC75E9"/>
    <w:rsid w:val="00AC7DE4"/>
    <w:rsid w:val="00AD2CA2"/>
    <w:rsid w:val="00AE167A"/>
    <w:rsid w:val="00AE353F"/>
    <w:rsid w:val="00AF404A"/>
    <w:rsid w:val="00AF58BB"/>
    <w:rsid w:val="00AF6020"/>
    <w:rsid w:val="00AF6D51"/>
    <w:rsid w:val="00B0199A"/>
    <w:rsid w:val="00B04F86"/>
    <w:rsid w:val="00B05920"/>
    <w:rsid w:val="00B07497"/>
    <w:rsid w:val="00B10209"/>
    <w:rsid w:val="00B107D1"/>
    <w:rsid w:val="00B10835"/>
    <w:rsid w:val="00B14D18"/>
    <w:rsid w:val="00B20EA2"/>
    <w:rsid w:val="00B239F1"/>
    <w:rsid w:val="00B23F91"/>
    <w:rsid w:val="00B343DC"/>
    <w:rsid w:val="00B34CEF"/>
    <w:rsid w:val="00B3793D"/>
    <w:rsid w:val="00B4260D"/>
    <w:rsid w:val="00B426E1"/>
    <w:rsid w:val="00B4365A"/>
    <w:rsid w:val="00B4401E"/>
    <w:rsid w:val="00B45824"/>
    <w:rsid w:val="00B52C02"/>
    <w:rsid w:val="00B639CD"/>
    <w:rsid w:val="00B747B7"/>
    <w:rsid w:val="00B81C10"/>
    <w:rsid w:val="00B9021E"/>
    <w:rsid w:val="00B961A0"/>
    <w:rsid w:val="00BA1967"/>
    <w:rsid w:val="00BB3261"/>
    <w:rsid w:val="00BB5079"/>
    <w:rsid w:val="00BB58B3"/>
    <w:rsid w:val="00BB6CC4"/>
    <w:rsid w:val="00BD0987"/>
    <w:rsid w:val="00BD1E16"/>
    <w:rsid w:val="00BD2500"/>
    <w:rsid w:val="00BE02EE"/>
    <w:rsid w:val="00BE1680"/>
    <w:rsid w:val="00BE4937"/>
    <w:rsid w:val="00BE5270"/>
    <w:rsid w:val="00BF0800"/>
    <w:rsid w:val="00C0209A"/>
    <w:rsid w:val="00C02FF7"/>
    <w:rsid w:val="00C052FF"/>
    <w:rsid w:val="00C10E17"/>
    <w:rsid w:val="00C11A6E"/>
    <w:rsid w:val="00C213B4"/>
    <w:rsid w:val="00C2697A"/>
    <w:rsid w:val="00C26B86"/>
    <w:rsid w:val="00C2732E"/>
    <w:rsid w:val="00C27B9A"/>
    <w:rsid w:val="00C30F6D"/>
    <w:rsid w:val="00C31B6B"/>
    <w:rsid w:val="00C36149"/>
    <w:rsid w:val="00C425F8"/>
    <w:rsid w:val="00C47274"/>
    <w:rsid w:val="00C51606"/>
    <w:rsid w:val="00C575C8"/>
    <w:rsid w:val="00C62B07"/>
    <w:rsid w:val="00C64948"/>
    <w:rsid w:val="00C67FE7"/>
    <w:rsid w:val="00C74B87"/>
    <w:rsid w:val="00C82CD9"/>
    <w:rsid w:val="00C843F7"/>
    <w:rsid w:val="00C872B1"/>
    <w:rsid w:val="00C93640"/>
    <w:rsid w:val="00CA5C42"/>
    <w:rsid w:val="00CA6C90"/>
    <w:rsid w:val="00CA6D75"/>
    <w:rsid w:val="00CA7E0A"/>
    <w:rsid w:val="00CC2FBE"/>
    <w:rsid w:val="00CC3B61"/>
    <w:rsid w:val="00CD6015"/>
    <w:rsid w:val="00CE094A"/>
    <w:rsid w:val="00CE1C1A"/>
    <w:rsid w:val="00CE259D"/>
    <w:rsid w:val="00CE28B6"/>
    <w:rsid w:val="00CF350D"/>
    <w:rsid w:val="00CF582D"/>
    <w:rsid w:val="00CF7260"/>
    <w:rsid w:val="00CF74AB"/>
    <w:rsid w:val="00D0284A"/>
    <w:rsid w:val="00D03613"/>
    <w:rsid w:val="00D06D07"/>
    <w:rsid w:val="00D12146"/>
    <w:rsid w:val="00D133CE"/>
    <w:rsid w:val="00D136C6"/>
    <w:rsid w:val="00D15CB1"/>
    <w:rsid w:val="00D24076"/>
    <w:rsid w:val="00D26C37"/>
    <w:rsid w:val="00D31279"/>
    <w:rsid w:val="00D36A28"/>
    <w:rsid w:val="00D4101E"/>
    <w:rsid w:val="00D536A3"/>
    <w:rsid w:val="00D56A90"/>
    <w:rsid w:val="00D57242"/>
    <w:rsid w:val="00D63959"/>
    <w:rsid w:val="00D70B62"/>
    <w:rsid w:val="00D71D28"/>
    <w:rsid w:val="00D77212"/>
    <w:rsid w:val="00D801C8"/>
    <w:rsid w:val="00D8579F"/>
    <w:rsid w:val="00D8765B"/>
    <w:rsid w:val="00D91470"/>
    <w:rsid w:val="00D93C7B"/>
    <w:rsid w:val="00D962C0"/>
    <w:rsid w:val="00DA1AFE"/>
    <w:rsid w:val="00DA743F"/>
    <w:rsid w:val="00DA7EF3"/>
    <w:rsid w:val="00DB15EB"/>
    <w:rsid w:val="00DB2737"/>
    <w:rsid w:val="00DB2F89"/>
    <w:rsid w:val="00DB374A"/>
    <w:rsid w:val="00DB7CD8"/>
    <w:rsid w:val="00DD11B6"/>
    <w:rsid w:val="00DD6852"/>
    <w:rsid w:val="00DD6B2A"/>
    <w:rsid w:val="00DE1611"/>
    <w:rsid w:val="00DE377F"/>
    <w:rsid w:val="00DF4FFE"/>
    <w:rsid w:val="00DF5D95"/>
    <w:rsid w:val="00DF793B"/>
    <w:rsid w:val="00E020C7"/>
    <w:rsid w:val="00E0366A"/>
    <w:rsid w:val="00E04D19"/>
    <w:rsid w:val="00E106C8"/>
    <w:rsid w:val="00E12645"/>
    <w:rsid w:val="00E17B5C"/>
    <w:rsid w:val="00E22B33"/>
    <w:rsid w:val="00E22E85"/>
    <w:rsid w:val="00E26D11"/>
    <w:rsid w:val="00E308F3"/>
    <w:rsid w:val="00E312AC"/>
    <w:rsid w:val="00E43825"/>
    <w:rsid w:val="00E4468E"/>
    <w:rsid w:val="00E46941"/>
    <w:rsid w:val="00E61D1C"/>
    <w:rsid w:val="00E62D46"/>
    <w:rsid w:val="00E6438B"/>
    <w:rsid w:val="00E644CD"/>
    <w:rsid w:val="00E70BF1"/>
    <w:rsid w:val="00E71849"/>
    <w:rsid w:val="00E71B09"/>
    <w:rsid w:val="00E73A14"/>
    <w:rsid w:val="00E74339"/>
    <w:rsid w:val="00E746FD"/>
    <w:rsid w:val="00E817A0"/>
    <w:rsid w:val="00E82DAB"/>
    <w:rsid w:val="00E84C7A"/>
    <w:rsid w:val="00E9010D"/>
    <w:rsid w:val="00E92695"/>
    <w:rsid w:val="00E93967"/>
    <w:rsid w:val="00E94084"/>
    <w:rsid w:val="00E97860"/>
    <w:rsid w:val="00EA1D6B"/>
    <w:rsid w:val="00EA2DA6"/>
    <w:rsid w:val="00EA6606"/>
    <w:rsid w:val="00EB2874"/>
    <w:rsid w:val="00EB336E"/>
    <w:rsid w:val="00EB4E98"/>
    <w:rsid w:val="00ED1C3E"/>
    <w:rsid w:val="00ED1CFC"/>
    <w:rsid w:val="00ED46E4"/>
    <w:rsid w:val="00ED4BCA"/>
    <w:rsid w:val="00ED7543"/>
    <w:rsid w:val="00EE1815"/>
    <w:rsid w:val="00EE1E39"/>
    <w:rsid w:val="00EE27A6"/>
    <w:rsid w:val="00EF1965"/>
    <w:rsid w:val="00EF1C07"/>
    <w:rsid w:val="00EF3B5D"/>
    <w:rsid w:val="00EF58C9"/>
    <w:rsid w:val="00F00752"/>
    <w:rsid w:val="00F01634"/>
    <w:rsid w:val="00F029D4"/>
    <w:rsid w:val="00F03AB0"/>
    <w:rsid w:val="00F042C0"/>
    <w:rsid w:val="00F06FF8"/>
    <w:rsid w:val="00F07DD4"/>
    <w:rsid w:val="00F1009C"/>
    <w:rsid w:val="00F1015C"/>
    <w:rsid w:val="00F114E9"/>
    <w:rsid w:val="00F12278"/>
    <w:rsid w:val="00F13119"/>
    <w:rsid w:val="00F1479B"/>
    <w:rsid w:val="00F16013"/>
    <w:rsid w:val="00F16103"/>
    <w:rsid w:val="00F229C7"/>
    <w:rsid w:val="00F239C4"/>
    <w:rsid w:val="00F24C6A"/>
    <w:rsid w:val="00F26097"/>
    <w:rsid w:val="00F272A7"/>
    <w:rsid w:val="00F3187D"/>
    <w:rsid w:val="00F3461A"/>
    <w:rsid w:val="00F45CBB"/>
    <w:rsid w:val="00F660AE"/>
    <w:rsid w:val="00F74B96"/>
    <w:rsid w:val="00F77833"/>
    <w:rsid w:val="00F77DB8"/>
    <w:rsid w:val="00F82564"/>
    <w:rsid w:val="00F866C6"/>
    <w:rsid w:val="00F87FB3"/>
    <w:rsid w:val="00F9366F"/>
    <w:rsid w:val="00FA31EC"/>
    <w:rsid w:val="00FA4031"/>
    <w:rsid w:val="00FA4B0E"/>
    <w:rsid w:val="00FA6903"/>
    <w:rsid w:val="00FA7F57"/>
    <w:rsid w:val="00FB28C1"/>
    <w:rsid w:val="00FB7B3F"/>
    <w:rsid w:val="00FB7E08"/>
    <w:rsid w:val="00FD6ABB"/>
    <w:rsid w:val="00FD6B72"/>
    <w:rsid w:val="00FE6310"/>
    <w:rsid w:val="00FE6377"/>
    <w:rsid w:val="00FF3996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99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C1406"/>
    <w:pPr>
      <w:keepNext/>
      <w:keepLines/>
      <w:spacing w:before="200" w:after="0" w:line="240" w:lineRule="auto"/>
      <w:outlineLvl w:val="2"/>
    </w:pPr>
    <w:rPr>
      <w:rFonts w:eastAsia="PMingLiU" w:cs="Times New Roman"/>
      <w:bCs/>
      <w:color w:val="4F81BD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C14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Nadpis3Char">
    <w:name w:val="Nadpis 3 Char"/>
    <w:basedOn w:val="Predvolenpsmoodseku"/>
    <w:link w:val="Nadpis3"/>
    <w:uiPriority w:val="9"/>
    <w:rsid w:val="000C1406"/>
    <w:rPr>
      <w:rFonts w:ascii="Times New Roman" w:eastAsia="PMingLiU" w:hAnsi="Times New Roman" w:cs="Times New Roman"/>
      <w:bCs/>
      <w:color w:val="4F81BD"/>
      <w:sz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C140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Hypertextovprepojenie">
    <w:name w:val="Hyperlink"/>
    <w:basedOn w:val="Predvolenpsmoodseku"/>
    <w:uiPriority w:val="99"/>
    <w:unhideWhenUsed/>
    <w:rsid w:val="00A908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C1406"/>
    <w:pPr>
      <w:keepNext/>
      <w:keepLines/>
      <w:spacing w:before="200" w:after="0" w:line="240" w:lineRule="auto"/>
      <w:outlineLvl w:val="2"/>
    </w:pPr>
    <w:rPr>
      <w:rFonts w:eastAsia="PMingLiU" w:cs="Times New Roman"/>
      <w:bCs/>
      <w:color w:val="4F81BD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C14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Nadpis3Char">
    <w:name w:val="Nadpis 3 Char"/>
    <w:basedOn w:val="Predvolenpsmoodseku"/>
    <w:link w:val="Nadpis3"/>
    <w:uiPriority w:val="9"/>
    <w:rsid w:val="000C1406"/>
    <w:rPr>
      <w:rFonts w:ascii="Times New Roman" w:eastAsia="PMingLiU" w:hAnsi="Times New Roman" w:cs="Times New Roman"/>
      <w:bCs/>
      <w:color w:val="4F81BD"/>
      <w:sz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C140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Hypertextovprepojenie">
    <w:name w:val="Hyperlink"/>
    <w:basedOn w:val="Predvolenpsmoodseku"/>
    <w:uiPriority w:val="99"/>
    <w:unhideWhenUsed/>
    <w:rsid w:val="00A908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er.stibrany@siea.gov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A021-1A15-4A93-A175-09AA5082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Rolínová Jana</cp:lastModifiedBy>
  <cp:revision>7</cp:revision>
  <cp:lastPrinted>2015-03-06T14:48:00Z</cp:lastPrinted>
  <dcterms:created xsi:type="dcterms:W3CDTF">2015-04-08T06:09:00Z</dcterms:created>
  <dcterms:modified xsi:type="dcterms:W3CDTF">2015-04-14T14:40:00Z</dcterms:modified>
</cp:coreProperties>
</file>