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F53C26" w14:textId="00A7C3F9" w:rsidR="00732A40" w:rsidRPr="00CF582D" w:rsidRDefault="009467F0" w:rsidP="00FC7CD5">
      <w:pPr>
        <w:spacing w:after="0" w:line="240" w:lineRule="auto"/>
        <w:jc w:val="left"/>
        <w:rPr>
          <w:rFonts w:eastAsia="Times New Roman" w:cs="Times New Roman"/>
          <w:sz w:val="20"/>
          <w:szCs w:val="20"/>
          <w:lang w:eastAsia="sk-SK"/>
        </w:rPr>
      </w:pPr>
      <w:r w:rsidRPr="0016749B"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0E3B5481" wp14:editId="577DBA84">
            <wp:simplePos x="0" y="0"/>
            <wp:positionH relativeFrom="column">
              <wp:posOffset>3543935</wp:posOffset>
            </wp:positionH>
            <wp:positionV relativeFrom="paragraph">
              <wp:posOffset>13970</wp:posOffset>
            </wp:positionV>
            <wp:extent cx="828675" cy="745490"/>
            <wp:effectExtent l="0" t="0" r="9525" b="0"/>
            <wp:wrapSquare wrapText="bothSides"/>
            <wp:docPr id="7" name="Obrázok 7" descr="logoMZPp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MZPpp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67F0">
        <w:rPr>
          <w:rFonts w:eastAsia="Calibri" w:cs="Times New Roman"/>
          <w:noProof/>
          <w:szCs w:val="24"/>
          <w:lang w:val="en-US"/>
        </w:rPr>
        <w:drawing>
          <wp:anchor distT="0" distB="0" distL="114300" distR="114300" simplePos="0" relativeHeight="251665408" behindDoc="0" locked="0" layoutInCell="1" allowOverlap="1" wp14:anchorId="2C01602C" wp14:editId="3F15D1F1">
            <wp:simplePos x="0" y="0"/>
            <wp:positionH relativeFrom="margin">
              <wp:posOffset>-13970</wp:posOffset>
            </wp:positionH>
            <wp:positionV relativeFrom="margin">
              <wp:posOffset>14605</wp:posOffset>
            </wp:positionV>
            <wp:extent cx="1276350" cy="847725"/>
            <wp:effectExtent l="0" t="0" r="0" b="9525"/>
            <wp:wrapSquare wrapText="bothSides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14B0E" w14:textId="7C22CC74" w:rsidR="006236C8" w:rsidRPr="0016749B" w:rsidRDefault="006236C8" w:rsidP="00FC7CD5">
      <w:pPr>
        <w:spacing w:after="0" w:line="240" w:lineRule="auto"/>
      </w:pPr>
    </w:p>
    <w:p w14:paraId="2A793C57" w14:textId="77777777" w:rsidR="00297396" w:rsidRPr="0016749B" w:rsidRDefault="00297396" w:rsidP="00FC7CD5">
      <w:pPr>
        <w:spacing w:after="0" w:line="240" w:lineRule="auto"/>
      </w:pPr>
      <w:r w:rsidRPr="0016749B">
        <w:rPr>
          <w:noProof/>
          <w:sz w:val="20"/>
          <w:szCs w:val="20"/>
          <w:lang w:val="en-US"/>
        </w:rPr>
        <w:drawing>
          <wp:anchor distT="0" distB="0" distL="114300" distR="114300" simplePos="0" relativeHeight="251661312" behindDoc="0" locked="1" layoutInCell="1" allowOverlap="1" wp14:anchorId="3EF73074" wp14:editId="2C0A98F3">
            <wp:simplePos x="0" y="0"/>
            <wp:positionH relativeFrom="character">
              <wp:posOffset>3542030</wp:posOffset>
            </wp:positionH>
            <wp:positionV relativeFrom="line">
              <wp:posOffset>-351155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0CB0CC" w14:textId="77777777" w:rsidR="00297396" w:rsidRPr="0016749B" w:rsidRDefault="00297396" w:rsidP="00FC7CD5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p w14:paraId="69E737C1" w14:textId="77777777" w:rsidR="00FC7CD5" w:rsidRDefault="00FC7CD5" w:rsidP="00FC7CD5">
      <w:pPr>
        <w:spacing w:after="100" w:afterAutospacing="1" w:line="360" w:lineRule="auto"/>
        <w:jc w:val="center"/>
        <w:rPr>
          <w:sz w:val="28"/>
          <w:szCs w:val="28"/>
        </w:rPr>
      </w:pPr>
    </w:p>
    <w:p w14:paraId="6652E969" w14:textId="77777777" w:rsidR="00B4260D" w:rsidRPr="0016749B" w:rsidRDefault="009A3508" w:rsidP="00FC7CD5">
      <w:pPr>
        <w:spacing w:after="100" w:afterAutospacing="1" w:line="360" w:lineRule="auto"/>
        <w:jc w:val="center"/>
        <w:rPr>
          <w:sz w:val="28"/>
          <w:szCs w:val="28"/>
        </w:rPr>
      </w:pPr>
      <w:r w:rsidRPr="0016749B">
        <w:rPr>
          <w:sz w:val="28"/>
          <w:szCs w:val="28"/>
        </w:rPr>
        <w:t xml:space="preserve">Ministerstvo životného prostredia </w:t>
      </w:r>
      <w:r w:rsidR="00425BB8">
        <w:rPr>
          <w:rFonts w:cs="Times New Roman"/>
          <w:sz w:val="28"/>
          <w:szCs w:val="28"/>
        </w:rPr>
        <w:t>–</w:t>
      </w:r>
      <w:r w:rsidRPr="0016749B">
        <w:rPr>
          <w:sz w:val="28"/>
          <w:szCs w:val="28"/>
        </w:rPr>
        <w:t xml:space="preserve"> Riadiaci orgán pre OP Kvalita životného prostredia</w:t>
      </w:r>
    </w:p>
    <w:p w14:paraId="15D15C7B" w14:textId="77777777" w:rsidR="00B4260D" w:rsidRPr="0016749B" w:rsidRDefault="00CF582D" w:rsidP="00FC7CD5">
      <w:pPr>
        <w:spacing w:after="0" w:line="240" w:lineRule="auto"/>
        <w:jc w:val="center"/>
      </w:pPr>
      <w:r w:rsidRPr="0016749B">
        <w:rPr>
          <w:noProof/>
          <w:lang w:val="en-US"/>
        </w:rPr>
        <w:drawing>
          <wp:inline distT="0" distB="0" distL="0" distR="0" wp14:anchorId="2D9A6EB5" wp14:editId="1895D3B9">
            <wp:extent cx="2023745" cy="367030"/>
            <wp:effectExtent l="0" t="0" r="0" b="0"/>
            <wp:docPr id="11" name="Obrázok 11" descr="logoOPKZPpp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logoOPKZPpp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58D6A" w14:textId="127D60D5" w:rsidR="00297396" w:rsidRPr="0016749B" w:rsidRDefault="00712C80" w:rsidP="00FC7CD5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</w:t>
      </w:r>
      <w:r w:rsidR="00297396" w:rsidRPr="0016749B">
        <w:rPr>
          <w:b/>
          <w:sz w:val="32"/>
          <w:szCs w:val="32"/>
        </w:rPr>
        <w:t>ámer</w:t>
      </w:r>
      <w:r w:rsidR="009A3508" w:rsidRPr="0016749B">
        <w:rPr>
          <w:b/>
          <w:sz w:val="32"/>
          <w:szCs w:val="32"/>
        </w:rPr>
        <w:t xml:space="preserve"> národného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231C62" w:rsidRPr="0016749B" w14:paraId="2F38E860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6A9ECDDB" w14:textId="77777777" w:rsidR="00231C62" w:rsidRPr="0016749B" w:rsidRDefault="00231C62" w:rsidP="00FC7CD5">
            <w:pPr>
              <w:rPr>
                <w:b/>
              </w:rPr>
            </w:pPr>
            <w:r w:rsidRPr="0016749B">
              <w:rPr>
                <w:b/>
              </w:rPr>
              <w:t>Operačný program:</w:t>
            </w:r>
          </w:p>
        </w:tc>
        <w:tc>
          <w:tcPr>
            <w:tcW w:w="4433" w:type="dxa"/>
          </w:tcPr>
          <w:p w14:paraId="694C4D28" w14:textId="77777777" w:rsidR="00231C62" w:rsidRPr="0016749B" w:rsidRDefault="009E00C4" w:rsidP="00FC7CD5">
            <w:r w:rsidRPr="0016749B">
              <w:t>Kvalita životného prostredia</w:t>
            </w:r>
          </w:p>
        </w:tc>
      </w:tr>
      <w:tr w:rsidR="00712C80" w:rsidRPr="0016749B" w14:paraId="1FACB8B5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3537737B" w14:textId="77777777" w:rsidR="00712C80" w:rsidRPr="0016749B" w:rsidRDefault="00712C80" w:rsidP="00FC7CD5">
            <w:pPr>
              <w:rPr>
                <w:b/>
              </w:rPr>
            </w:pPr>
            <w:r>
              <w:rPr>
                <w:b/>
              </w:rPr>
              <w:t>Prioritná os:</w:t>
            </w:r>
          </w:p>
        </w:tc>
        <w:tc>
          <w:tcPr>
            <w:tcW w:w="4433" w:type="dxa"/>
          </w:tcPr>
          <w:p w14:paraId="2B560FE6" w14:textId="70ED3338" w:rsidR="00712C80" w:rsidRPr="0016749B" w:rsidRDefault="00712C80" w:rsidP="00472F20">
            <w:r>
              <w:t>4</w:t>
            </w:r>
            <w:r w:rsidR="00472F20">
              <w:t>.</w:t>
            </w:r>
            <w:r>
              <w:t xml:space="preserve"> </w:t>
            </w:r>
            <w:r w:rsidRPr="0016749B">
              <w:t xml:space="preserve">Energeticky efektívne </w:t>
            </w:r>
            <w:proofErr w:type="spellStart"/>
            <w:r w:rsidRPr="0016749B">
              <w:t>nízkouhlíkové</w:t>
            </w:r>
            <w:proofErr w:type="spellEnd"/>
            <w:r w:rsidRPr="0016749B">
              <w:t xml:space="preserve"> hos</w:t>
            </w:r>
            <w:r>
              <w:t>podárstvo vo všetkých sektoroch</w:t>
            </w:r>
          </w:p>
        </w:tc>
      </w:tr>
      <w:tr w:rsidR="00712C80" w:rsidRPr="0016749B" w14:paraId="06BA19F2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4036BC8A" w14:textId="77777777" w:rsidR="00712C80" w:rsidRDefault="00712C80" w:rsidP="00FC7CD5">
            <w:pPr>
              <w:rPr>
                <w:b/>
              </w:rPr>
            </w:pPr>
            <w:r>
              <w:rPr>
                <w:b/>
              </w:rPr>
              <w:t>Špecifický cieľ:</w:t>
            </w:r>
          </w:p>
        </w:tc>
        <w:tc>
          <w:tcPr>
            <w:tcW w:w="4433" w:type="dxa"/>
          </w:tcPr>
          <w:p w14:paraId="0EEBCA3C" w14:textId="77777777" w:rsidR="00712C80" w:rsidRPr="0016749B" w:rsidRDefault="00712C80" w:rsidP="00FC7CD5">
            <w:r>
              <w:rPr>
                <w:szCs w:val="24"/>
              </w:rPr>
              <w:t xml:space="preserve">4.4.1 </w:t>
            </w:r>
            <w:r w:rsidRPr="00D32F75">
              <w:rPr>
                <w:szCs w:val="24"/>
              </w:rPr>
              <w:t xml:space="preserve">Zvyšovanie počtu miestnych plánov a opatrení súvisiacich s </w:t>
            </w:r>
            <w:proofErr w:type="spellStart"/>
            <w:r w:rsidRPr="00D32F75">
              <w:rPr>
                <w:szCs w:val="24"/>
              </w:rPr>
              <w:t>nízkouhlíkovou</w:t>
            </w:r>
            <w:proofErr w:type="spellEnd"/>
            <w:r w:rsidRPr="00D32F75">
              <w:rPr>
                <w:szCs w:val="24"/>
              </w:rPr>
              <w:t xml:space="preserve"> stratégiou pre všetky typy území</w:t>
            </w:r>
          </w:p>
        </w:tc>
      </w:tr>
      <w:tr w:rsidR="00231C62" w:rsidRPr="0016749B" w14:paraId="27182E04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2C820A98" w14:textId="77777777" w:rsidR="00231C62" w:rsidRPr="0016749B" w:rsidRDefault="00231C62" w:rsidP="00FC7CD5">
            <w:pPr>
              <w:rPr>
                <w:b/>
              </w:rPr>
            </w:pPr>
            <w:r w:rsidRPr="0016749B">
              <w:rPr>
                <w:b/>
              </w:rPr>
              <w:t>Žiadateľ:</w:t>
            </w:r>
          </w:p>
        </w:tc>
        <w:tc>
          <w:tcPr>
            <w:tcW w:w="4433" w:type="dxa"/>
          </w:tcPr>
          <w:p w14:paraId="13DD2D1B" w14:textId="77777777" w:rsidR="00231C62" w:rsidRPr="0016749B" w:rsidRDefault="009E00C4" w:rsidP="00FC7CD5">
            <w:r w:rsidRPr="0016749B">
              <w:t>Slovenská inovačná a energetická agentúra</w:t>
            </w:r>
          </w:p>
        </w:tc>
      </w:tr>
      <w:tr w:rsidR="00FD6ABB" w:rsidRPr="0016749B" w14:paraId="193C97D5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65AA14AF" w14:textId="77777777" w:rsidR="00FD6ABB" w:rsidRPr="0016749B" w:rsidRDefault="00FD6ABB" w:rsidP="00FC7CD5">
            <w:pPr>
              <w:rPr>
                <w:b/>
              </w:rPr>
            </w:pPr>
            <w:r w:rsidRPr="0016749B">
              <w:rPr>
                <w:b/>
              </w:rPr>
              <w:t>Názov projektu:</w:t>
            </w:r>
          </w:p>
        </w:tc>
        <w:tc>
          <w:tcPr>
            <w:tcW w:w="4433" w:type="dxa"/>
          </w:tcPr>
          <w:p w14:paraId="48E8777B" w14:textId="77777777" w:rsidR="00FD6ABB" w:rsidRPr="00F22D59" w:rsidRDefault="009E00C4" w:rsidP="00FC7CD5">
            <w:pPr>
              <w:rPr>
                <w:b/>
              </w:rPr>
            </w:pPr>
            <w:r w:rsidRPr="00F22D59">
              <w:rPr>
                <w:b/>
              </w:rPr>
              <w:t>Žiť energiou</w:t>
            </w:r>
          </w:p>
        </w:tc>
      </w:tr>
      <w:tr w:rsidR="00231C62" w:rsidRPr="0016749B" w14:paraId="4857642B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44997A4E" w14:textId="77777777" w:rsidR="00231C62" w:rsidRPr="0016749B" w:rsidRDefault="00231C62" w:rsidP="00FC7CD5">
            <w:pPr>
              <w:rPr>
                <w:b/>
              </w:rPr>
            </w:pPr>
            <w:r w:rsidRPr="0016749B">
              <w:rPr>
                <w:b/>
              </w:rPr>
              <w:t>Celkové oprávnené výdavky projektu:</w:t>
            </w:r>
          </w:p>
        </w:tc>
        <w:tc>
          <w:tcPr>
            <w:tcW w:w="4433" w:type="dxa"/>
          </w:tcPr>
          <w:p w14:paraId="4EF5D774" w14:textId="6FB876C8" w:rsidR="00231C62" w:rsidRPr="009C2A6F" w:rsidRDefault="00064294" w:rsidP="006656BB">
            <w:r w:rsidRPr="00064294">
              <w:t xml:space="preserve">33 106 444 </w:t>
            </w:r>
            <w:r w:rsidR="009E00C4" w:rsidRPr="009C2A6F">
              <w:t>EUR</w:t>
            </w:r>
          </w:p>
        </w:tc>
      </w:tr>
      <w:tr w:rsidR="00FD6ABB" w:rsidRPr="0016749B" w14:paraId="352E2A31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5BAA9618" w14:textId="77777777" w:rsidR="00FD6ABB" w:rsidRPr="0016749B" w:rsidRDefault="00FD6ABB" w:rsidP="00FC7CD5">
            <w:pPr>
              <w:rPr>
                <w:b/>
              </w:rPr>
            </w:pPr>
            <w:r w:rsidRPr="0016749B">
              <w:rPr>
                <w:b/>
              </w:rPr>
              <w:t>Požadovaná výška NFP:</w:t>
            </w:r>
          </w:p>
        </w:tc>
        <w:tc>
          <w:tcPr>
            <w:tcW w:w="4433" w:type="dxa"/>
          </w:tcPr>
          <w:p w14:paraId="3A4CF3B5" w14:textId="12B1C6AD" w:rsidR="00FD6ABB" w:rsidRPr="009C2A6F" w:rsidRDefault="00064294" w:rsidP="006656BB">
            <w:r w:rsidRPr="00064294">
              <w:t xml:space="preserve">33 106 444 </w:t>
            </w:r>
            <w:r w:rsidR="009E00C4" w:rsidRPr="009C2A6F">
              <w:t>EUR</w:t>
            </w:r>
          </w:p>
        </w:tc>
      </w:tr>
    </w:tbl>
    <w:p w14:paraId="47155F8F" w14:textId="77777777" w:rsidR="00DE377F" w:rsidRPr="0016749B" w:rsidRDefault="00DE377F" w:rsidP="00FD753F">
      <w:pPr>
        <w:spacing w:after="18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16749B" w14:paraId="05B191F2" w14:textId="77777777" w:rsidTr="00B4260D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19FFCEE9" w14:textId="77777777" w:rsidR="00DE377F" w:rsidRPr="0016749B" w:rsidRDefault="00DE377F" w:rsidP="003B558B">
            <w:pPr>
              <w:jc w:val="center"/>
              <w:rPr>
                <w:b/>
                <w:bCs/>
              </w:rPr>
            </w:pPr>
            <w:r w:rsidRPr="0016749B">
              <w:rPr>
                <w:b/>
                <w:bCs/>
              </w:rPr>
              <w:t xml:space="preserve">1. Identifikácia </w:t>
            </w:r>
            <w:r w:rsidR="009A3508" w:rsidRPr="0016749B">
              <w:rPr>
                <w:b/>
                <w:bCs/>
              </w:rPr>
              <w:t>prijímateľa</w:t>
            </w:r>
          </w:p>
        </w:tc>
      </w:tr>
      <w:tr w:rsidR="009E00C4" w:rsidRPr="0016749B" w14:paraId="007D3CB4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838A777" w14:textId="77777777" w:rsidR="009E00C4" w:rsidRPr="0016749B" w:rsidRDefault="009E00C4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 xml:space="preserve">Obchodné meno/názov: </w:t>
            </w:r>
            <w:r w:rsidRPr="0016749B">
              <w:t>Slovenská inovačná a energetická agentúra</w:t>
            </w:r>
          </w:p>
        </w:tc>
      </w:tr>
      <w:tr w:rsidR="009E00C4" w:rsidRPr="0016749B" w14:paraId="755B69DD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5F8E68E8" w14:textId="77777777" w:rsidR="009E00C4" w:rsidRPr="0016749B" w:rsidRDefault="009E00C4" w:rsidP="0017501E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 xml:space="preserve">Sídlo: </w:t>
            </w:r>
            <w:r w:rsidR="0017501E" w:rsidRPr="0016749B">
              <w:t xml:space="preserve">Bajkalská 27, </w:t>
            </w:r>
            <w:r w:rsidRPr="0016749B">
              <w:t>827 99</w:t>
            </w:r>
            <w:r w:rsidR="0017501E">
              <w:t xml:space="preserve"> Bratislava</w:t>
            </w:r>
            <w:r w:rsidRPr="0016749B">
              <w:t xml:space="preserve"> </w:t>
            </w:r>
          </w:p>
        </w:tc>
      </w:tr>
      <w:tr w:rsidR="009E00C4" w:rsidRPr="0016749B" w14:paraId="4C961909" w14:textId="77777777" w:rsidTr="00DE377F">
        <w:trPr>
          <w:trHeight w:val="330"/>
        </w:trPr>
        <w:tc>
          <w:tcPr>
            <w:tcW w:w="9288" w:type="dxa"/>
            <w:gridSpan w:val="4"/>
          </w:tcPr>
          <w:p w14:paraId="4EF949EE" w14:textId="77777777" w:rsidR="009E00C4" w:rsidRPr="0016749B" w:rsidRDefault="009E00C4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>Štát:</w:t>
            </w:r>
            <w:r w:rsidRPr="0016749B">
              <w:rPr>
                <w:bCs/>
                <w:sz w:val="18"/>
                <w:szCs w:val="18"/>
              </w:rPr>
              <w:t xml:space="preserve"> </w:t>
            </w:r>
            <w:r w:rsidRPr="0016749B">
              <w:rPr>
                <w:bCs/>
                <w:szCs w:val="24"/>
              </w:rPr>
              <w:t>Slovenská republika</w:t>
            </w:r>
          </w:p>
        </w:tc>
      </w:tr>
      <w:tr w:rsidR="009E00C4" w:rsidRPr="0016749B" w14:paraId="23B5905F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354B457D" w14:textId="77777777" w:rsidR="009E00C4" w:rsidRPr="0016749B" w:rsidRDefault="009E00C4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 xml:space="preserve">IČO: </w:t>
            </w:r>
            <w:r w:rsidRPr="0016749B">
              <w:t>00002801</w:t>
            </w:r>
          </w:p>
        </w:tc>
      </w:tr>
      <w:tr w:rsidR="009E00C4" w:rsidRPr="0016749B" w14:paraId="7CA08D0C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7705CB0" w14:textId="77777777" w:rsidR="009E00C4" w:rsidRPr="0016749B" w:rsidRDefault="009E00C4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 xml:space="preserve">DIČ: </w:t>
            </w:r>
            <w:r w:rsidR="00F96331" w:rsidRPr="00F96331">
              <w:rPr>
                <w:bCs/>
              </w:rPr>
              <w:t>2020877749</w:t>
            </w:r>
          </w:p>
        </w:tc>
      </w:tr>
      <w:tr w:rsidR="009E00C4" w:rsidRPr="0016749B" w14:paraId="360F2134" w14:textId="77777777" w:rsidTr="001F5995">
        <w:trPr>
          <w:trHeight w:val="518"/>
        </w:trPr>
        <w:tc>
          <w:tcPr>
            <w:tcW w:w="9288" w:type="dxa"/>
            <w:gridSpan w:val="4"/>
            <w:hideMark/>
          </w:tcPr>
          <w:p w14:paraId="364FFFA5" w14:textId="77777777" w:rsidR="009E00C4" w:rsidRPr="0016749B" w:rsidRDefault="009E00C4" w:rsidP="00042010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 xml:space="preserve">IČZ: </w:t>
            </w:r>
            <w:r w:rsidRPr="0016749B">
              <w:rPr>
                <w:bCs/>
                <w:sz w:val="18"/>
                <w:szCs w:val="18"/>
              </w:rPr>
              <w:t>identifikačné číslo zamestnávateľa pridelené Sociálnou poisťovňou</w:t>
            </w:r>
            <w:r w:rsidR="00042010">
              <w:rPr>
                <w:bCs/>
                <w:sz w:val="18"/>
                <w:szCs w:val="18"/>
              </w:rPr>
              <w:t xml:space="preserve"> </w:t>
            </w:r>
            <w:r w:rsidRPr="0016749B">
              <w:rPr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9E00C4" w:rsidRPr="0016749B" w14:paraId="18435330" w14:textId="77777777" w:rsidTr="00B4260D">
        <w:trPr>
          <w:trHeight w:val="480"/>
        </w:trPr>
        <w:tc>
          <w:tcPr>
            <w:tcW w:w="5162" w:type="dxa"/>
            <w:gridSpan w:val="2"/>
            <w:hideMark/>
          </w:tcPr>
          <w:p w14:paraId="7D798D92" w14:textId="77777777" w:rsidR="009E00C4" w:rsidRPr="0016749B" w:rsidRDefault="009E00C4" w:rsidP="00F96331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 xml:space="preserve">Platiteľ DPH: </w:t>
            </w:r>
            <w:r w:rsidR="00DE70E2" w:rsidRPr="00DE70E2">
              <w:rPr>
                <w:bCs/>
                <w:strike/>
                <w:szCs w:val="24"/>
              </w:rPr>
              <w:t>áno</w:t>
            </w:r>
            <w:r w:rsidR="00DE70E2" w:rsidRPr="00845131">
              <w:rPr>
                <w:b/>
                <w:bCs/>
                <w:strike/>
                <w:szCs w:val="24"/>
              </w:rPr>
              <w:t>/</w:t>
            </w:r>
            <w:r w:rsidRPr="001F5995">
              <w:rPr>
                <w:bCs/>
              </w:rPr>
              <w:t>nie</w:t>
            </w:r>
          </w:p>
        </w:tc>
        <w:tc>
          <w:tcPr>
            <w:tcW w:w="4126" w:type="dxa"/>
            <w:gridSpan w:val="2"/>
            <w:hideMark/>
          </w:tcPr>
          <w:p w14:paraId="3B391765" w14:textId="77777777" w:rsidR="009E00C4" w:rsidRPr="0016749B" w:rsidRDefault="009E00C4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>IČ DPH:</w:t>
            </w:r>
            <w:r w:rsidRPr="0016749B">
              <w:t xml:space="preserve"> SK 2020877749</w:t>
            </w:r>
          </w:p>
        </w:tc>
      </w:tr>
      <w:tr w:rsidR="009E00C4" w:rsidRPr="0016749B" w14:paraId="14D7B100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69DB1594" w14:textId="77777777" w:rsidR="009E00C4" w:rsidRPr="0016749B" w:rsidRDefault="009E00C4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 xml:space="preserve">Právna forma: </w:t>
            </w:r>
            <w:r w:rsidRPr="0016749B">
              <w:t>Príspevková organizácia</w:t>
            </w:r>
            <w:r w:rsidRPr="0016749B">
              <w:rPr>
                <w:b/>
              </w:rPr>
              <w:t xml:space="preserve">  </w:t>
            </w:r>
          </w:p>
        </w:tc>
      </w:tr>
      <w:tr w:rsidR="009E00C4" w:rsidRPr="0016749B" w14:paraId="7C15B153" w14:textId="77777777" w:rsidTr="00586F1B">
        <w:trPr>
          <w:trHeight w:val="366"/>
        </w:trPr>
        <w:tc>
          <w:tcPr>
            <w:tcW w:w="9288" w:type="dxa"/>
            <w:gridSpan w:val="4"/>
            <w:hideMark/>
          </w:tcPr>
          <w:p w14:paraId="31AE057F" w14:textId="77777777" w:rsidR="009E00C4" w:rsidRPr="0016749B" w:rsidRDefault="009E00C4" w:rsidP="00586F1B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 xml:space="preserve">Štatutárny orgán: </w:t>
            </w:r>
            <w:r w:rsidR="00586F1B" w:rsidRPr="00F24C6A">
              <w:rPr>
                <w:bCs/>
              </w:rPr>
              <w:t>generálna riaditeľka</w:t>
            </w:r>
          </w:p>
        </w:tc>
      </w:tr>
      <w:tr w:rsidR="009E00C4" w:rsidRPr="0016749B" w14:paraId="14047E83" w14:textId="77777777" w:rsidTr="00DE377F">
        <w:trPr>
          <w:trHeight w:val="330"/>
        </w:trPr>
        <w:tc>
          <w:tcPr>
            <w:tcW w:w="2577" w:type="dxa"/>
            <w:hideMark/>
          </w:tcPr>
          <w:p w14:paraId="6740B556" w14:textId="77777777" w:rsidR="009E00C4" w:rsidRPr="0016749B" w:rsidRDefault="009E00C4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38798B92" w14:textId="77777777" w:rsidR="009E00C4" w:rsidRPr="0016749B" w:rsidRDefault="009E00C4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29EC2606" w14:textId="77777777" w:rsidR="009E00C4" w:rsidRPr="0016749B" w:rsidRDefault="009E00C4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637B80AE" w14:textId="77777777" w:rsidR="009E00C4" w:rsidRPr="0016749B" w:rsidRDefault="009E00C4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>Titul za menom</w:t>
            </w:r>
          </w:p>
        </w:tc>
      </w:tr>
      <w:tr w:rsidR="009E00C4" w:rsidRPr="0016749B" w14:paraId="76735B3D" w14:textId="77777777" w:rsidTr="00DE377F">
        <w:trPr>
          <w:trHeight w:val="330"/>
        </w:trPr>
        <w:tc>
          <w:tcPr>
            <w:tcW w:w="2577" w:type="dxa"/>
            <w:hideMark/>
          </w:tcPr>
          <w:p w14:paraId="0B761F44" w14:textId="77777777" w:rsidR="009E00C4" w:rsidRPr="0016749B" w:rsidRDefault="009E00C4" w:rsidP="00FC7CD5">
            <w:pPr>
              <w:rPr>
                <w:bCs/>
              </w:rPr>
            </w:pPr>
            <w:r w:rsidRPr="0016749B">
              <w:rPr>
                <w:bCs/>
              </w:rPr>
              <w:t xml:space="preserve"> JUDr. </w:t>
            </w:r>
          </w:p>
        </w:tc>
        <w:tc>
          <w:tcPr>
            <w:tcW w:w="2585" w:type="dxa"/>
            <w:hideMark/>
          </w:tcPr>
          <w:p w14:paraId="4D9A259B" w14:textId="77777777" w:rsidR="009E00C4" w:rsidRPr="0016749B" w:rsidRDefault="009E00C4" w:rsidP="00FC7CD5">
            <w:pPr>
              <w:rPr>
                <w:bCs/>
              </w:rPr>
            </w:pPr>
            <w:r w:rsidRPr="0016749B">
              <w:rPr>
                <w:bCs/>
              </w:rPr>
              <w:t xml:space="preserve">Svetlana </w:t>
            </w:r>
          </w:p>
        </w:tc>
        <w:tc>
          <w:tcPr>
            <w:tcW w:w="1487" w:type="dxa"/>
            <w:hideMark/>
          </w:tcPr>
          <w:p w14:paraId="2DA1841A" w14:textId="77777777" w:rsidR="009E00C4" w:rsidRPr="0016749B" w:rsidRDefault="009E00C4" w:rsidP="00FC7CD5">
            <w:pPr>
              <w:rPr>
                <w:bCs/>
              </w:rPr>
            </w:pPr>
            <w:proofErr w:type="spellStart"/>
            <w:r w:rsidRPr="0016749B">
              <w:rPr>
                <w:bCs/>
              </w:rPr>
              <w:t>Gavorová</w:t>
            </w:r>
            <w:proofErr w:type="spellEnd"/>
          </w:p>
        </w:tc>
        <w:tc>
          <w:tcPr>
            <w:tcW w:w="2639" w:type="dxa"/>
            <w:hideMark/>
          </w:tcPr>
          <w:p w14:paraId="2855964A" w14:textId="77777777" w:rsidR="009E00C4" w:rsidRPr="0016749B" w:rsidRDefault="009E00C4" w:rsidP="00FC7CD5">
            <w:pPr>
              <w:rPr>
                <w:bCs/>
              </w:rPr>
            </w:pPr>
            <w:r w:rsidRPr="0016749B">
              <w:rPr>
                <w:bCs/>
              </w:rPr>
              <w:t> </w:t>
            </w:r>
          </w:p>
        </w:tc>
      </w:tr>
    </w:tbl>
    <w:p w14:paraId="42802281" w14:textId="77777777" w:rsidR="00C72F97" w:rsidRDefault="00C72F97" w:rsidP="005F180E">
      <w:pPr>
        <w:spacing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16749B" w14:paraId="69EE383C" w14:textId="77777777" w:rsidTr="004D25E1">
        <w:trPr>
          <w:trHeight w:val="330"/>
        </w:trPr>
        <w:tc>
          <w:tcPr>
            <w:tcW w:w="9288" w:type="dxa"/>
            <w:shd w:val="clear" w:color="auto" w:fill="CCC0D9" w:themeFill="accent4" w:themeFillTint="66"/>
            <w:hideMark/>
          </w:tcPr>
          <w:p w14:paraId="48B885B4" w14:textId="77777777" w:rsidR="00DE377F" w:rsidRPr="0016749B" w:rsidRDefault="00DE377F" w:rsidP="003B558B">
            <w:pPr>
              <w:jc w:val="center"/>
              <w:rPr>
                <w:b/>
                <w:bCs/>
              </w:rPr>
            </w:pPr>
            <w:r w:rsidRPr="0016749B">
              <w:rPr>
                <w:b/>
                <w:bCs/>
              </w:rPr>
              <w:lastRenderedPageBreak/>
              <w:t>2. Identifikácia organizačnej zložky zodpovednej za realizáciu projektu</w:t>
            </w:r>
          </w:p>
        </w:tc>
      </w:tr>
      <w:tr w:rsidR="00DE377F" w:rsidRPr="0016749B" w14:paraId="0503FF02" w14:textId="77777777" w:rsidTr="00187776">
        <w:trPr>
          <w:trHeight w:val="330"/>
        </w:trPr>
        <w:tc>
          <w:tcPr>
            <w:tcW w:w="9288" w:type="dxa"/>
            <w:hideMark/>
          </w:tcPr>
          <w:p w14:paraId="72F03A93" w14:textId="77777777" w:rsidR="00DE377F" w:rsidRPr="0016749B" w:rsidRDefault="00DE377F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 xml:space="preserve">Názov: </w:t>
            </w:r>
            <w:r w:rsidR="009E00C4" w:rsidRPr="0016749B">
              <w:rPr>
                <w:bCs/>
              </w:rPr>
              <w:t xml:space="preserve">Odbor komunikácie, </w:t>
            </w:r>
            <w:r w:rsidR="009E00C4" w:rsidRPr="0016749B">
              <w:t>Slovenská inovačná a energetická agentúra</w:t>
            </w:r>
          </w:p>
        </w:tc>
      </w:tr>
      <w:tr w:rsidR="00DE377F" w:rsidRPr="0016749B" w14:paraId="02F43F64" w14:textId="77777777" w:rsidTr="00187776">
        <w:trPr>
          <w:trHeight w:val="330"/>
        </w:trPr>
        <w:tc>
          <w:tcPr>
            <w:tcW w:w="9288" w:type="dxa"/>
            <w:hideMark/>
          </w:tcPr>
          <w:p w14:paraId="055AAEE5" w14:textId="77777777" w:rsidR="00DE377F" w:rsidRPr="0016749B" w:rsidRDefault="00DE377F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 xml:space="preserve">Sídlo: </w:t>
            </w:r>
            <w:r w:rsidR="009E00C4" w:rsidRPr="0016749B">
              <w:t>Bratislava, Bajkalská 27, 827 99, Slovenská republika</w:t>
            </w:r>
          </w:p>
        </w:tc>
      </w:tr>
    </w:tbl>
    <w:p w14:paraId="61D60CDE" w14:textId="77777777" w:rsidR="00DE377F" w:rsidRDefault="00DE377F" w:rsidP="00FD753F">
      <w:pPr>
        <w:spacing w:after="18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20"/>
        <w:gridCol w:w="2469"/>
        <w:gridCol w:w="1515"/>
        <w:gridCol w:w="1690"/>
        <w:gridCol w:w="1194"/>
      </w:tblGrid>
      <w:tr w:rsidR="008E1470" w:rsidRPr="00E936C1" w14:paraId="1926DCC0" w14:textId="77777777" w:rsidTr="006835EA">
        <w:trPr>
          <w:trHeight w:val="328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2553C12F" w14:textId="77777777" w:rsidR="008E1470" w:rsidRPr="00E936C1" w:rsidRDefault="008E1470" w:rsidP="006835EA">
            <w:pPr>
              <w:jc w:val="center"/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3. Komunikácia vo veci projektového zámeru NP</w:t>
            </w:r>
          </w:p>
        </w:tc>
      </w:tr>
      <w:tr w:rsidR="008E1470" w:rsidRPr="00E936C1" w14:paraId="3907A5D5" w14:textId="77777777" w:rsidTr="006835EA">
        <w:trPr>
          <w:trHeight w:val="330"/>
        </w:trPr>
        <w:tc>
          <w:tcPr>
            <w:tcW w:w="9288" w:type="dxa"/>
            <w:gridSpan w:val="5"/>
            <w:hideMark/>
          </w:tcPr>
          <w:p w14:paraId="02EF7FD4" w14:textId="77777777" w:rsidR="008E1470" w:rsidRPr="00E936C1" w:rsidRDefault="008E1470" w:rsidP="006835EA">
            <w:pPr>
              <w:rPr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Kontaktné údaje a</w:t>
            </w:r>
            <w:r>
              <w:rPr>
                <w:b/>
                <w:bCs/>
                <w:szCs w:val="24"/>
              </w:rPr>
              <w:t xml:space="preserve"> </w:t>
            </w:r>
            <w:r w:rsidRPr="00E936C1">
              <w:rPr>
                <w:b/>
                <w:bCs/>
                <w:szCs w:val="24"/>
              </w:rPr>
              <w:t xml:space="preserve">adresa na doručovanie písomností: </w:t>
            </w:r>
            <w:r w:rsidRPr="00E936C1">
              <w:rPr>
                <w:bCs/>
                <w:szCs w:val="24"/>
              </w:rPr>
              <w:t>Slovenská inovačná a energetická agentúra, Bajkalská 27, 827 99 Bratislava</w:t>
            </w:r>
          </w:p>
        </w:tc>
      </w:tr>
      <w:tr w:rsidR="008E1470" w:rsidRPr="00E936C1" w14:paraId="2590D4B8" w14:textId="77777777" w:rsidTr="006835EA">
        <w:trPr>
          <w:trHeight w:val="330"/>
        </w:trPr>
        <w:tc>
          <w:tcPr>
            <w:tcW w:w="9288" w:type="dxa"/>
            <w:gridSpan w:val="5"/>
            <w:hideMark/>
          </w:tcPr>
          <w:p w14:paraId="7571B099" w14:textId="77777777" w:rsidR="008E1470" w:rsidRPr="00E936C1" w:rsidRDefault="008E1470" w:rsidP="006835EA">
            <w:pPr>
              <w:rPr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Kontaktná osoba: </w:t>
            </w:r>
            <w:r w:rsidRPr="00116E07">
              <w:rPr>
                <w:bCs/>
                <w:szCs w:val="24"/>
              </w:rPr>
              <w:t>RNDr. Katarína Ružičková</w:t>
            </w:r>
          </w:p>
        </w:tc>
      </w:tr>
      <w:tr w:rsidR="008E1470" w:rsidRPr="00E936C1" w14:paraId="5496B412" w14:textId="77777777" w:rsidTr="006835EA">
        <w:trPr>
          <w:trHeight w:val="330"/>
        </w:trPr>
        <w:tc>
          <w:tcPr>
            <w:tcW w:w="2470" w:type="dxa"/>
            <w:hideMark/>
          </w:tcPr>
          <w:p w14:paraId="403D697D" w14:textId="77777777" w:rsidR="008E1470" w:rsidRPr="00E936C1" w:rsidRDefault="008E1470" w:rsidP="006835EA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Titul</w:t>
            </w:r>
          </w:p>
        </w:tc>
        <w:tc>
          <w:tcPr>
            <w:tcW w:w="2530" w:type="dxa"/>
            <w:hideMark/>
          </w:tcPr>
          <w:p w14:paraId="0F04C7AA" w14:textId="77777777" w:rsidR="008E1470" w:rsidRPr="00E936C1" w:rsidRDefault="008E1470" w:rsidP="006835EA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Meno</w:t>
            </w:r>
          </w:p>
        </w:tc>
        <w:tc>
          <w:tcPr>
            <w:tcW w:w="1531" w:type="dxa"/>
            <w:hideMark/>
          </w:tcPr>
          <w:p w14:paraId="456C83C6" w14:textId="77777777" w:rsidR="008E1470" w:rsidRPr="00E936C1" w:rsidRDefault="008E1470" w:rsidP="006835EA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Priezvisko</w:t>
            </w:r>
          </w:p>
        </w:tc>
        <w:tc>
          <w:tcPr>
            <w:tcW w:w="1740" w:type="dxa"/>
            <w:hideMark/>
          </w:tcPr>
          <w:p w14:paraId="6F08138D" w14:textId="77777777" w:rsidR="008E1470" w:rsidRPr="00E936C1" w:rsidRDefault="008E1470" w:rsidP="006835EA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Titul za menom</w:t>
            </w:r>
          </w:p>
        </w:tc>
        <w:tc>
          <w:tcPr>
            <w:tcW w:w="1017" w:type="dxa"/>
          </w:tcPr>
          <w:p w14:paraId="23E2F326" w14:textId="77777777" w:rsidR="008E1470" w:rsidRPr="00E936C1" w:rsidRDefault="008E1470" w:rsidP="006835EA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Subjekt</w:t>
            </w:r>
          </w:p>
        </w:tc>
      </w:tr>
      <w:tr w:rsidR="008E1470" w:rsidRPr="00E936C1" w14:paraId="3C5A6B7E" w14:textId="77777777" w:rsidTr="006835EA">
        <w:trPr>
          <w:trHeight w:val="330"/>
        </w:trPr>
        <w:tc>
          <w:tcPr>
            <w:tcW w:w="2470" w:type="dxa"/>
            <w:hideMark/>
          </w:tcPr>
          <w:p w14:paraId="34870A61" w14:textId="77777777" w:rsidR="008E1470" w:rsidRPr="00E936C1" w:rsidRDefault="008E1470" w:rsidP="006835EA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 xml:space="preserve"> RNDr. </w:t>
            </w:r>
          </w:p>
        </w:tc>
        <w:tc>
          <w:tcPr>
            <w:tcW w:w="2530" w:type="dxa"/>
            <w:hideMark/>
          </w:tcPr>
          <w:p w14:paraId="3BA5FE09" w14:textId="77777777" w:rsidR="008E1470" w:rsidRPr="00E936C1" w:rsidRDefault="008E1470" w:rsidP="006835EA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> Katarína</w:t>
            </w:r>
          </w:p>
        </w:tc>
        <w:tc>
          <w:tcPr>
            <w:tcW w:w="1531" w:type="dxa"/>
            <w:hideMark/>
          </w:tcPr>
          <w:p w14:paraId="6A0F6E18" w14:textId="77777777" w:rsidR="008E1470" w:rsidRPr="00E936C1" w:rsidRDefault="008E1470" w:rsidP="006835EA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>Ružičková</w:t>
            </w:r>
          </w:p>
        </w:tc>
        <w:tc>
          <w:tcPr>
            <w:tcW w:w="1740" w:type="dxa"/>
            <w:hideMark/>
          </w:tcPr>
          <w:p w14:paraId="6CFF6BDA" w14:textId="77777777" w:rsidR="008E1470" w:rsidRPr="00E936C1" w:rsidRDefault="008E1470" w:rsidP="006835EA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 xml:space="preserve"> </w:t>
            </w:r>
          </w:p>
        </w:tc>
        <w:tc>
          <w:tcPr>
            <w:tcW w:w="1017" w:type="dxa"/>
          </w:tcPr>
          <w:p w14:paraId="1DD981EF" w14:textId="77777777" w:rsidR="008E1470" w:rsidRPr="00E936C1" w:rsidRDefault="008E1470" w:rsidP="006835EA">
            <w:pPr>
              <w:rPr>
                <w:bCs/>
                <w:szCs w:val="24"/>
              </w:rPr>
            </w:pPr>
            <w:r w:rsidRPr="00E936C1">
              <w:rPr>
                <w:bCs/>
                <w:szCs w:val="24"/>
              </w:rPr>
              <w:t>Prijímateľ</w:t>
            </w:r>
          </w:p>
        </w:tc>
      </w:tr>
      <w:tr w:rsidR="008E1470" w:rsidRPr="00E936C1" w14:paraId="217C0C77" w14:textId="77777777" w:rsidTr="006835EA">
        <w:trPr>
          <w:trHeight w:val="330"/>
        </w:trPr>
        <w:tc>
          <w:tcPr>
            <w:tcW w:w="9288" w:type="dxa"/>
            <w:gridSpan w:val="5"/>
            <w:hideMark/>
          </w:tcPr>
          <w:p w14:paraId="73DA870E" w14:textId="77777777" w:rsidR="008E1470" w:rsidRPr="00E936C1" w:rsidRDefault="008E1470" w:rsidP="006835EA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Adresa na doručovanie písomností:</w:t>
            </w:r>
            <w:r w:rsidRPr="00E936C1">
              <w:rPr>
                <w:szCs w:val="24"/>
              </w:rPr>
              <w:t> Slovenská inovačná a energetická agentúra, Bajkalská 27, 827 99 Bratislava</w:t>
            </w:r>
          </w:p>
        </w:tc>
      </w:tr>
      <w:tr w:rsidR="008E1470" w:rsidRPr="00E936C1" w14:paraId="306C8A75" w14:textId="77777777" w:rsidTr="006835EA">
        <w:trPr>
          <w:trHeight w:val="330"/>
        </w:trPr>
        <w:tc>
          <w:tcPr>
            <w:tcW w:w="5000" w:type="dxa"/>
            <w:gridSpan w:val="2"/>
            <w:hideMark/>
          </w:tcPr>
          <w:p w14:paraId="2EF6E5C2" w14:textId="77777777" w:rsidR="008E1470" w:rsidRPr="00E936C1" w:rsidRDefault="008E1470" w:rsidP="006835EA">
            <w:pPr>
              <w:rPr>
                <w:b/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 xml:space="preserve">e-mail: </w:t>
            </w:r>
            <w:hyperlink r:id="rId13" w:history="1">
              <w:r w:rsidRPr="00E936C1">
                <w:rPr>
                  <w:rStyle w:val="Hypertextovprepojenie"/>
                  <w:bCs/>
                  <w:szCs w:val="24"/>
                </w:rPr>
                <w:t>katarina.ruzickova</w:t>
              </w:r>
              <w:r w:rsidRPr="00E936C1">
                <w:rPr>
                  <w:rStyle w:val="Hypertextovprepojenie"/>
                  <w:bCs/>
                  <w:szCs w:val="24"/>
                  <w:lang w:val="en-US"/>
                </w:rPr>
                <w:t>@siea.gov.sk</w:t>
              </w:r>
            </w:hyperlink>
          </w:p>
        </w:tc>
        <w:tc>
          <w:tcPr>
            <w:tcW w:w="4288" w:type="dxa"/>
            <w:gridSpan w:val="3"/>
            <w:hideMark/>
          </w:tcPr>
          <w:p w14:paraId="50D9039D" w14:textId="77777777" w:rsidR="008E1470" w:rsidRPr="00E936C1" w:rsidRDefault="008E1470" w:rsidP="006835EA">
            <w:pPr>
              <w:rPr>
                <w:bCs/>
                <w:szCs w:val="24"/>
              </w:rPr>
            </w:pPr>
            <w:r w:rsidRPr="00E936C1">
              <w:rPr>
                <w:b/>
                <w:bCs/>
                <w:szCs w:val="24"/>
              </w:rPr>
              <w:t>Telefón:</w:t>
            </w:r>
            <w:r w:rsidRPr="00E936C1">
              <w:rPr>
                <w:bCs/>
                <w:szCs w:val="24"/>
              </w:rPr>
              <w:t xml:space="preserve"> +421 2 58 248 343</w:t>
            </w:r>
          </w:p>
        </w:tc>
      </w:tr>
    </w:tbl>
    <w:p w14:paraId="0D65EBA5" w14:textId="4AB78065" w:rsidR="008E1470" w:rsidRDefault="008E1470" w:rsidP="00FD753F">
      <w:pPr>
        <w:spacing w:after="18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10835" w:rsidRPr="0016749B" w14:paraId="67024072" w14:textId="77777777" w:rsidTr="008E1470">
        <w:trPr>
          <w:trHeight w:val="330"/>
        </w:trPr>
        <w:tc>
          <w:tcPr>
            <w:tcW w:w="9288" w:type="dxa"/>
            <w:shd w:val="clear" w:color="auto" w:fill="CCC0D9" w:themeFill="accent4" w:themeFillTint="66"/>
          </w:tcPr>
          <w:p w14:paraId="29EF93B5" w14:textId="135CD5CA" w:rsidR="00B10835" w:rsidRPr="0016749B" w:rsidRDefault="00A40200" w:rsidP="00FC7C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="00B10835" w:rsidRPr="0016749B">
              <w:rPr>
                <w:b/>
                <w:bCs/>
              </w:rPr>
              <w:t>Zdôvodnenie využitia národného projektu a vylúčenia výberu prostredníctvom výzvy</w:t>
            </w:r>
            <w:r w:rsidR="00712C80">
              <w:rPr>
                <w:b/>
                <w:bCs/>
              </w:rPr>
              <w:t xml:space="preserve"> a určenia prijímateľa</w:t>
            </w:r>
          </w:p>
        </w:tc>
      </w:tr>
      <w:tr w:rsidR="00B10835" w:rsidRPr="0016749B" w14:paraId="6B157794" w14:textId="77777777" w:rsidTr="008E1470">
        <w:trPr>
          <w:trHeight w:val="330"/>
        </w:trPr>
        <w:tc>
          <w:tcPr>
            <w:tcW w:w="9288" w:type="dxa"/>
          </w:tcPr>
          <w:p w14:paraId="5C6F505F" w14:textId="5DF8E897" w:rsidR="00B10835" w:rsidRDefault="00E81D2C" w:rsidP="002A0802">
            <w:pPr>
              <w:rPr>
                <w:bCs/>
              </w:rPr>
            </w:pPr>
            <w:r w:rsidRPr="0016749B">
              <w:rPr>
                <w:bCs/>
              </w:rPr>
              <w:t xml:space="preserve">Slovenská inovačná a energetická agentúra (SIEA) </w:t>
            </w:r>
            <w:r w:rsidR="00CB7905">
              <w:rPr>
                <w:bCs/>
              </w:rPr>
              <w:t xml:space="preserve">má dlhoročné skúsenosti s poskytovaním odborného energetického poradenstva. V rámci národného projektu s názvom </w:t>
            </w:r>
            <w:r w:rsidR="00CB7905" w:rsidRPr="00CB7905">
              <w:rPr>
                <w:bCs/>
              </w:rPr>
              <w:t>„</w:t>
            </w:r>
            <w:r w:rsidR="00CB7905" w:rsidRPr="00157F86">
              <w:rPr>
                <w:bCs/>
                <w:i/>
              </w:rPr>
              <w:t>Podpora osvety a poradenstva v rámci efektívneho využívania energie a využívania OZE, vrátane zvýšenia informovanosti širokej verejnosti,</w:t>
            </w:r>
            <w:r w:rsidR="00CB7905" w:rsidRPr="00CB7905">
              <w:rPr>
                <w:bCs/>
              </w:rPr>
              <w:t>“ financovaného z</w:t>
            </w:r>
            <w:r w:rsidR="00CB7905">
              <w:rPr>
                <w:bCs/>
              </w:rPr>
              <w:t xml:space="preserve"> prostriedkov</w:t>
            </w:r>
            <w:r w:rsidR="00CB7905" w:rsidRPr="00CB7905">
              <w:rPr>
                <w:bCs/>
              </w:rPr>
              <w:t xml:space="preserve"> Operačného programu Konkurenci</w:t>
            </w:r>
            <w:r w:rsidR="00CB7905">
              <w:rPr>
                <w:bCs/>
              </w:rPr>
              <w:t>eschopnosť a hospodársky rast</w:t>
            </w:r>
            <w:r w:rsidR="00F3154D">
              <w:rPr>
                <w:bCs/>
              </w:rPr>
              <w:t>,</w:t>
            </w:r>
            <w:r w:rsidR="00CB7905" w:rsidRPr="00CB7905">
              <w:rPr>
                <w:bCs/>
              </w:rPr>
              <w:t xml:space="preserve"> SIEA vybud</w:t>
            </w:r>
            <w:r w:rsidR="00CB7905">
              <w:rPr>
                <w:bCs/>
              </w:rPr>
              <w:t>ovala</w:t>
            </w:r>
            <w:r w:rsidR="001F7C48">
              <w:rPr>
                <w:bCs/>
              </w:rPr>
              <w:t xml:space="preserve"> od roku 2010</w:t>
            </w:r>
            <w:r w:rsidR="00CB7905">
              <w:rPr>
                <w:bCs/>
              </w:rPr>
              <w:t xml:space="preserve"> sieť poradenských centier. </w:t>
            </w:r>
            <w:r w:rsidR="001F7C48" w:rsidRPr="001F7C48">
              <w:rPr>
                <w:bCs/>
              </w:rPr>
              <w:t xml:space="preserve">V </w:t>
            </w:r>
            <w:r w:rsidR="001F7C48">
              <w:rPr>
                <w:bCs/>
              </w:rPr>
              <w:t>nich</w:t>
            </w:r>
            <w:r w:rsidR="001F7C48" w:rsidRPr="001F7C48">
              <w:rPr>
                <w:bCs/>
              </w:rPr>
              <w:t xml:space="preserve"> je poskytované bezplatné individuálne poradenstvo laickej </w:t>
            </w:r>
            <w:r w:rsidR="002A0802">
              <w:rPr>
                <w:bCs/>
              </w:rPr>
              <w:t xml:space="preserve">                   </w:t>
            </w:r>
            <w:r w:rsidR="001F7C48" w:rsidRPr="001F7C48">
              <w:rPr>
                <w:bCs/>
              </w:rPr>
              <w:t>i</w:t>
            </w:r>
            <w:r w:rsidR="002A0802">
              <w:rPr>
                <w:bCs/>
              </w:rPr>
              <w:t xml:space="preserve"> </w:t>
            </w:r>
            <w:r w:rsidR="001F7C48" w:rsidRPr="001F7C48">
              <w:rPr>
                <w:bCs/>
              </w:rPr>
              <w:t xml:space="preserve">odbornej verejnosti prostredníctvom bezplatných </w:t>
            </w:r>
            <w:r w:rsidR="00472F20">
              <w:rPr>
                <w:bCs/>
              </w:rPr>
              <w:t xml:space="preserve">osobných konzultácií, </w:t>
            </w:r>
            <w:r w:rsidR="001F7C48" w:rsidRPr="001F7C48">
              <w:rPr>
                <w:bCs/>
              </w:rPr>
              <w:t>telefónnych liniek</w:t>
            </w:r>
            <w:r w:rsidR="00472F20">
              <w:rPr>
                <w:bCs/>
              </w:rPr>
              <w:t xml:space="preserve"> a</w:t>
            </w:r>
            <w:r w:rsidR="001F7C48" w:rsidRPr="001F7C48">
              <w:rPr>
                <w:bCs/>
              </w:rPr>
              <w:t xml:space="preserve"> e-mailovej korešpondencie</w:t>
            </w:r>
            <w:r w:rsidR="00472F20">
              <w:rPr>
                <w:bCs/>
              </w:rPr>
              <w:t>.</w:t>
            </w:r>
            <w:r w:rsidR="001F7C48" w:rsidRPr="001F7C48">
              <w:rPr>
                <w:bCs/>
              </w:rPr>
              <w:t xml:space="preserve"> Celkový počet uskutočnených konzultácií sa </w:t>
            </w:r>
            <w:r w:rsidR="001F7C48">
              <w:rPr>
                <w:bCs/>
              </w:rPr>
              <w:t xml:space="preserve">pohybuje v desiatkach tisíc. Poradenské aktivity sú úspešne uskutočňované aj v prostredí základných a stredných škôl. </w:t>
            </w:r>
            <w:r w:rsidR="001F7C48" w:rsidRPr="001F7C48">
              <w:rPr>
                <w:bCs/>
              </w:rPr>
              <w:t>Energetické experimenty pre deti a</w:t>
            </w:r>
            <w:r w:rsidR="001F7C48">
              <w:rPr>
                <w:bCs/>
              </w:rPr>
              <w:t> </w:t>
            </w:r>
            <w:r w:rsidR="001F7C48" w:rsidRPr="001F7C48">
              <w:rPr>
                <w:bCs/>
              </w:rPr>
              <w:t>mládež</w:t>
            </w:r>
            <w:r w:rsidR="001F7C48">
              <w:rPr>
                <w:bCs/>
              </w:rPr>
              <w:t xml:space="preserve"> s názvom</w:t>
            </w:r>
            <w:r w:rsidR="001F7C48" w:rsidRPr="001F7C48">
              <w:rPr>
                <w:bCs/>
              </w:rPr>
              <w:t xml:space="preserve"> „Rady tety E</w:t>
            </w:r>
            <w:r w:rsidR="00876A5C">
              <w:rPr>
                <w:bCs/>
              </w:rPr>
              <w:t>ty“ používajú v</w:t>
            </w:r>
            <w:r w:rsidR="001F7C48">
              <w:rPr>
                <w:bCs/>
              </w:rPr>
              <w:t xml:space="preserve"> mnohých z nich</w:t>
            </w:r>
            <w:r w:rsidR="00876A5C">
              <w:rPr>
                <w:bCs/>
              </w:rPr>
              <w:t>. Odborníci SIEA navštevujú</w:t>
            </w:r>
            <w:r w:rsidR="001F7C48" w:rsidRPr="001F7C48">
              <w:rPr>
                <w:bCs/>
              </w:rPr>
              <w:t xml:space="preserve"> množstvo škôl, v k</w:t>
            </w:r>
            <w:r w:rsidR="00876A5C">
              <w:rPr>
                <w:bCs/>
              </w:rPr>
              <w:t>torých pútavou formou oboznamujú</w:t>
            </w:r>
            <w:r w:rsidR="001F7C48" w:rsidRPr="001F7C48">
              <w:rPr>
                <w:bCs/>
              </w:rPr>
              <w:t xml:space="preserve"> žia</w:t>
            </w:r>
            <w:r w:rsidR="001F7C48">
              <w:rPr>
                <w:bCs/>
              </w:rPr>
              <w:t>kov s problematikou energetiky. SIE</w:t>
            </w:r>
            <w:r w:rsidR="00876A5C">
              <w:rPr>
                <w:bCs/>
              </w:rPr>
              <w:t>A vydala viac ako 40</w:t>
            </w:r>
            <w:r w:rsidR="001F7C48" w:rsidRPr="001F7C48">
              <w:rPr>
                <w:bCs/>
              </w:rPr>
              <w:t xml:space="preserve"> druhov tlačovín o úsporách energie a využívaní OZE s celkovým nákladom takmer </w:t>
            </w:r>
            <w:r w:rsidR="00472F20">
              <w:rPr>
                <w:bCs/>
              </w:rPr>
              <w:t>3</w:t>
            </w:r>
            <w:r w:rsidR="001F7C48" w:rsidRPr="001F7C48">
              <w:rPr>
                <w:bCs/>
              </w:rPr>
              <w:t xml:space="preserve"> milióny výtlačkov</w:t>
            </w:r>
            <w:r w:rsidR="00876A5C">
              <w:rPr>
                <w:bCs/>
              </w:rPr>
              <w:t>, uskutočnila množstvo odborných podujatí pre</w:t>
            </w:r>
            <w:r w:rsidR="001F7C48" w:rsidRPr="001F7C48">
              <w:rPr>
                <w:bCs/>
              </w:rPr>
              <w:t xml:space="preserve"> účastníkov</w:t>
            </w:r>
            <w:r w:rsidR="00736071">
              <w:rPr>
                <w:bCs/>
              </w:rPr>
              <w:t xml:space="preserve"> z</w:t>
            </w:r>
            <w:r w:rsidR="004678E2">
              <w:rPr>
                <w:bCs/>
              </w:rPr>
              <w:t xml:space="preserve"> </w:t>
            </w:r>
            <w:r w:rsidR="00736071">
              <w:rPr>
                <w:bCs/>
              </w:rPr>
              <w:t>jednotlivých definovaných cieľových skupín</w:t>
            </w:r>
            <w:r w:rsidR="001F7C48" w:rsidRPr="001F7C48">
              <w:rPr>
                <w:bCs/>
              </w:rPr>
              <w:t>.</w:t>
            </w:r>
            <w:r w:rsidR="001F7C48">
              <w:rPr>
                <w:bCs/>
              </w:rPr>
              <w:t xml:space="preserve"> V spolupráci s predstaviteľmi miest a obcí </w:t>
            </w:r>
            <w:r w:rsidR="00472F20">
              <w:rPr>
                <w:bCs/>
              </w:rPr>
              <w:t xml:space="preserve">SIEA </w:t>
            </w:r>
            <w:r w:rsidR="001F7C48">
              <w:rPr>
                <w:bCs/>
              </w:rPr>
              <w:t>zrealizovala desiatky výjazdov, v rámci ktorých jej experti pripravili prednášky a poskytli odborné konzultácie priamo na mieste pre obyvateľov  týchto miest a</w:t>
            </w:r>
            <w:r w:rsidR="00845588">
              <w:rPr>
                <w:bCs/>
              </w:rPr>
              <w:t xml:space="preserve"> </w:t>
            </w:r>
            <w:r w:rsidR="001F7C48">
              <w:rPr>
                <w:bCs/>
              </w:rPr>
              <w:t>obcí.</w:t>
            </w:r>
            <w:r w:rsidR="001F7C48" w:rsidRPr="001F7C48">
              <w:rPr>
                <w:bCs/>
              </w:rPr>
              <w:t xml:space="preserve"> Poradenstvo je poskytované aj prostredníctvom webovej stránky s</w:t>
            </w:r>
            <w:r w:rsidR="00736071">
              <w:rPr>
                <w:bCs/>
              </w:rPr>
              <w:t xml:space="preserve"> počtom</w:t>
            </w:r>
            <w:r w:rsidR="001F7C48" w:rsidRPr="001F7C48">
              <w:rPr>
                <w:bCs/>
              </w:rPr>
              <w:t xml:space="preserve"> zobrazení</w:t>
            </w:r>
            <w:r w:rsidR="00736071">
              <w:rPr>
                <w:bCs/>
              </w:rPr>
              <w:t xml:space="preserve"> presahujúcim 250 000 ročne</w:t>
            </w:r>
            <w:r w:rsidR="001F7C48" w:rsidRPr="001F7C48">
              <w:rPr>
                <w:bCs/>
              </w:rPr>
              <w:t>.</w:t>
            </w:r>
            <w:r w:rsidR="001F7C48">
              <w:rPr>
                <w:bCs/>
              </w:rPr>
              <w:t xml:space="preserve"> </w:t>
            </w:r>
            <w:r w:rsidR="001F7C48" w:rsidRPr="001F7C48">
              <w:rPr>
                <w:bCs/>
              </w:rPr>
              <w:t xml:space="preserve">Hoci je národný projekt </w:t>
            </w:r>
            <w:r w:rsidR="001F7C48">
              <w:rPr>
                <w:bCs/>
              </w:rPr>
              <w:t>„</w:t>
            </w:r>
            <w:r w:rsidR="001F7C48" w:rsidRPr="00157F86">
              <w:rPr>
                <w:bCs/>
                <w:i/>
              </w:rPr>
              <w:t>Podpora osvety a poradenstva v rámci efektívneho využívania energie a využívania OZE, vrátane zvýšenia informovanosti širokej verejnosti,</w:t>
            </w:r>
            <w:r w:rsidR="001F7C48">
              <w:rPr>
                <w:bCs/>
              </w:rPr>
              <w:t>“</w:t>
            </w:r>
            <w:r w:rsidR="001F7C48" w:rsidRPr="001F7C48">
              <w:rPr>
                <w:bCs/>
              </w:rPr>
              <w:t xml:space="preserve"> časovo v záverečnej fáze, SIEA neustále eviduje</w:t>
            </w:r>
            <w:r w:rsidR="001F7C48">
              <w:rPr>
                <w:bCs/>
              </w:rPr>
              <w:t xml:space="preserve"> veľké</w:t>
            </w:r>
            <w:r w:rsidR="001F7C48" w:rsidRPr="001F7C48">
              <w:rPr>
                <w:bCs/>
              </w:rPr>
              <w:t xml:space="preserve"> množstvo nových požiadaviek na odborné podujatia nielen v rámci oprávneného územia, ale aj v Bratislavskom samosprávnom kraji.</w:t>
            </w:r>
            <w:r w:rsidR="00947F95">
              <w:rPr>
                <w:bCs/>
              </w:rPr>
              <w:t xml:space="preserve"> </w:t>
            </w:r>
            <w:r w:rsidR="00947F95" w:rsidRPr="00947F95">
              <w:rPr>
                <w:bCs/>
              </w:rPr>
              <w:t xml:space="preserve">Doterajšie skúsenosti s implementáciou národných projektov v predošlom programovom období umožnili SIEA vybudovanie potrebných administratívnych kapacít a ich ďalšie využitie </w:t>
            </w:r>
            <w:r w:rsidR="00472F20">
              <w:rPr>
                <w:bCs/>
              </w:rPr>
              <w:t xml:space="preserve">a kontinuálne rozšírenie </w:t>
            </w:r>
            <w:r w:rsidR="00947F95" w:rsidRPr="00947F95">
              <w:rPr>
                <w:bCs/>
              </w:rPr>
              <w:t>na úspešné zabezpečenie udržateľnej realizácie tohto projektu.</w:t>
            </w:r>
          </w:p>
          <w:p w14:paraId="356B2920" w14:textId="05E573B6" w:rsidR="00712C80" w:rsidRPr="001F7C48" w:rsidRDefault="00712C80" w:rsidP="00703FB7">
            <w:pPr>
              <w:rPr>
                <w:bCs/>
              </w:rPr>
            </w:pPr>
            <w:r>
              <w:rPr>
                <w:bCs/>
              </w:rPr>
              <w:t>S</w:t>
            </w:r>
            <w:r w:rsidR="00472F20">
              <w:rPr>
                <w:bCs/>
              </w:rPr>
              <w:t xml:space="preserve">IEA </w:t>
            </w:r>
            <w:r>
              <w:rPr>
                <w:bCs/>
              </w:rPr>
              <w:t>je ako prijímateľ určená priamo v znení Operačného programu Kvalita životného prostredia</w:t>
            </w:r>
            <w:r w:rsidR="00947F95">
              <w:rPr>
                <w:bCs/>
              </w:rPr>
              <w:t xml:space="preserve"> (OP KŽP)</w:t>
            </w:r>
            <w:r>
              <w:rPr>
                <w:bCs/>
              </w:rPr>
              <w:t>.</w:t>
            </w:r>
          </w:p>
        </w:tc>
      </w:tr>
    </w:tbl>
    <w:p w14:paraId="3199697E" w14:textId="77777777" w:rsidR="00DE377F" w:rsidRDefault="00DE377F" w:rsidP="005F180E">
      <w:pPr>
        <w:spacing w:line="240" w:lineRule="auto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DE377F" w:rsidRPr="0016749B" w14:paraId="36C1B492" w14:textId="77777777" w:rsidTr="00DA42D8">
        <w:trPr>
          <w:trHeight w:val="330"/>
        </w:trPr>
        <w:tc>
          <w:tcPr>
            <w:tcW w:w="9322" w:type="dxa"/>
            <w:shd w:val="clear" w:color="auto" w:fill="CCC0D9" w:themeFill="accent4" w:themeFillTint="66"/>
            <w:hideMark/>
          </w:tcPr>
          <w:p w14:paraId="6570E302" w14:textId="77777777" w:rsidR="00DE377F" w:rsidRPr="0016749B" w:rsidRDefault="00DE377F" w:rsidP="003B558B">
            <w:pPr>
              <w:jc w:val="center"/>
              <w:rPr>
                <w:b/>
                <w:bCs/>
              </w:rPr>
            </w:pPr>
            <w:r w:rsidRPr="0016749B">
              <w:rPr>
                <w:b/>
                <w:bCs/>
              </w:rPr>
              <w:lastRenderedPageBreak/>
              <w:t xml:space="preserve">5. Identifikácia </w:t>
            </w:r>
            <w:r w:rsidR="00A53490" w:rsidRPr="0016749B">
              <w:rPr>
                <w:b/>
                <w:bCs/>
              </w:rPr>
              <w:t xml:space="preserve">národného </w:t>
            </w:r>
            <w:r w:rsidRPr="0016749B">
              <w:rPr>
                <w:b/>
                <w:bCs/>
              </w:rPr>
              <w:t>projektu</w:t>
            </w:r>
          </w:p>
        </w:tc>
      </w:tr>
      <w:tr w:rsidR="006A1AFD" w:rsidRPr="0016749B" w14:paraId="67CD4D27" w14:textId="77777777" w:rsidTr="00DA42D8">
        <w:trPr>
          <w:trHeight w:val="315"/>
        </w:trPr>
        <w:tc>
          <w:tcPr>
            <w:tcW w:w="9322" w:type="dxa"/>
          </w:tcPr>
          <w:p w14:paraId="40390DA5" w14:textId="77777777" w:rsidR="006A1AFD" w:rsidRPr="0016749B" w:rsidRDefault="006A1AFD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>Názov projektu:</w:t>
            </w:r>
          </w:p>
        </w:tc>
      </w:tr>
      <w:tr w:rsidR="006A1AFD" w:rsidRPr="0016749B" w14:paraId="404D8F5C" w14:textId="77777777" w:rsidTr="00DA42D8">
        <w:trPr>
          <w:trHeight w:val="315"/>
        </w:trPr>
        <w:tc>
          <w:tcPr>
            <w:tcW w:w="9322" w:type="dxa"/>
          </w:tcPr>
          <w:p w14:paraId="4A15C5AE" w14:textId="77777777" w:rsidR="006A1AFD" w:rsidRPr="0016749B" w:rsidRDefault="003D5819" w:rsidP="00FC7CD5">
            <w:pPr>
              <w:rPr>
                <w:bCs/>
              </w:rPr>
            </w:pPr>
            <w:r w:rsidRPr="0016749B">
              <w:rPr>
                <w:bCs/>
              </w:rPr>
              <w:t>Žiť energiou</w:t>
            </w:r>
          </w:p>
        </w:tc>
      </w:tr>
      <w:tr w:rsidR="00340992" w:rsidRPr="0016749B" w14:paraId="56F8AAD3" w14:textId="77777777" w:rsidTr="00DA42D8">
        <w:trPr>
          <w:trHeight w:val="315"/>
        </w:trPr>
        <w:tc>
          <w:tcPr>
            <w:tcW w:w="9322" w:type="dxa"/>
          </w:tcPr>
          <w:p w14:paraId="7A818C84" w14:textId="77777777" w:rsidR="00340992" w:rsidRPr="0016749B" w:rsidRDefault="00340992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>Prioritná os:</w:t>
            </w:r>
          </w:p>
        </w:tc>
      </w:tr>
      <w:tr w:rsidR="00340992" w:rsidRPr="0016749B" w14:paraId="4891C88D" w14:textId="77777777" w:rsidTr="00DA42D8">
        <w:trPr>
          <w:trHeight w:val="315"/>
        </w:trPr>
        <w:tc>
          <w:tcPr>
            <w:tcW w:w="9322" w:type="dxa"/>
          </w:tcPr>
          <w:p w14:paraId="1CBE38B2" w14:textId="77777777" w:rsidR="00340992" w:rsidRPr="0016749B" w:rsidRDefault="00C4423F" w:rsidP="00FC7CD5">
            <w:pPr>
              <w:rPr>
                <w:b/>
                <w:bCs/>
              </w:rPr>
            </w:pPr>
            <w:r>
              <w:t xml:space="preserve">4. </w:t>
            </w:r>
            <w:r w:rsidR="003D5819" w:rsidRPr="0016749B">
              <w:t xml:space="preserve">Energeticky efektívne </w:t>
            </w:r>
            <w:proofErr w:type="spellStart"/>
            <w:r w:rsidR="003D5819" w:rsidRPr="0016749B">
              <w:t>nízkouhlíkové</w:t>
            </w:r>
            <w:proofErr w:type="spellEnd"/>
            <w:r w:rsidR="003D5819" w:rsidRPr="0016749B">
              <w:t xml:space="preserve"> hos</w:t>
            </w:r>
            <w:r w:rsidR="003D5819">
              <w:t>podárstvo vo všetkých sektoroch</w:t>
            </w:r>
          </w:p>
        </w:tc>
      </w:tr>
      <w:tr w:rsidR="00340992" w:rsidRPr="0016749B" w14:paraId="52494B32" w14:textId="77777777" w:rsidTr="00DA42D8">
        <w:trPr>
          <w:trHeight w:val="315"/>
        </w:trPr>
        <w:tc>
          <w:tcPr>
            <w:tcW w:w="9322" w:type="dxa"/>
          </w:tcPr>
          <w:p w14:paraId="1BC7926E" w14:textId="77777777" w:rsidR="00340992" w:rsidRPr="0016749B" w:rsidRDefault="00340992" w:rsidP="00FC7CD5">
            <w:pPr>
              <w:rPr>
                <w:sz w:val="18"/>
                <w:szCs w:val="18"/>
              </w:rPr>
            </w:pPr>
            <w:r w:rsidRPr="0016749B">
              <w:rPr>
                <w:b/>
                <w:bCs/>
              </w:rPr>
              <w:t>Špecifický cieľ:</w:t>
            </w:r>
            <w:r w:rsidR="009A13A8" w:rsidRPr="0016749B">
              <w:rPr>
                <w:b/>
                <w:bCs/>
              </w:rPr>
              <w:t xml:space="preserve"> </w:t>
            </w:r>
          </w:p>
        </w:tc>
      </w:tr>
      <w:tr w:rsidR="00340992" w:rsidRPr="0016749B" w14:paraId="227A5DE7" w14:textId="77777777" w:rsidTr="00DA42D8">
        <w:trPr>
          <w:trHeight w:val="315"/>
        </w:trPr>
        <w:tc>
          <w:tcPr>
            <w:tcW w:w="9322" w:type="dxa"/>
          </w:tcPr>
          <w:p w14:paraId="60D690B5" w14:textId="77777777" w:rsidR="00340992" w:rsidRPr="00D32F75" w:rsidRDefault="00C4423F" w:rsidP="00FC7CD5">
            <w:pPr>
              <w:rPr>
                <w:szCs w:val="24"/>
              </w:rPr>
            </w:pPr>
            <w:r>
              <w:rPr>
                <w:szCs w:val="24"/>
              </w:rPr>
              <w:t xml:space="preserve">4.4.1 </w:t>
            </w:r>
            <w:r w:rsidR="00D32F75" w:rsidRPr="00D32F75">
              <w:rPr>
                <w:szCs w:val="24"/>
              </w:rPr>
              <w:t xml:space="preserve">Zvyšovanie počtu miestnych plánov a opatrení súvisiacich s </w:t>
            </w:r>
            <w:proofErr w:type="spellStart"/>
            <w:r w:rsidR="00D32F75" w:rsidRPr="00D32F75">
              <w:rPr>
                <w:szCs w:val="24"/>
              </w:rPr>
              <w:t>nízkouhlíkovou</w:t>
            </w:r>
            <w:proofErr w:type="spellEnd"/>
            <w:r w:rsidR="00D32F75" w:rsidRPr="00D32F75">
              <w:rPr>
                <w:szCs w:val="24"/>
              </w:rPr>
              <w:t xml:space="preserve"> stratégiou pre všetky typy území</w:t>
            </w:r>
          </w:p>
        </w:tc>
      </w:tr>
      <w:tr w:rsidR="009B6F8F" w:rsidRPr="0016749B" w14:paraId="4D1FA596" w14:textId="77777777" w:rsidTr="00DA42D8">
        <w:trPr>
          <w:trHeight w:val="315"/>
        </w:trPr>
        <w:tc>
          <w:tcPr>
            <w:tcW w:w="9322" w:type="dxa"/>
          </w:tcPr>
          <w:p w14:paraId="4B711AD8" w14:textId="77777777" w:rsidR="009B6F8F" w:rsidRPr="0016749B" w:rsidRDefault="009B6F8F" w:rsidP="00FC7CD5">
            <w:pPr>
              <w:rPr>
                <w:sz w:val="18"/>
                <w:szCs w:val="18"/>
              </w:rPr>
            </w:pPr>
            <w:r w:rsidRPr="0016749B">
              <w:rPr>
                <w:b/>
                <w:bCs/>
              </w:rPr>
              <w:t>Názov aktivity:</w:t>
            </w:r>
            <w:r w:rsidR="009A13A8" w:rsidRPr="0016749B">
              <w:rPr>
                <w:b/>
                <w:bCs/>
              </w:rPr>
              <w:t xml:space="preserve"> </w:t>
            </w:r>
          </w:p>
        </w:tc>
      </w:tr>
      <w:tr w:rsidR="009B6F8F" w:rsidRPr="0016749B" w14:paraId="3D0A88CA" w14:textId="77777777" w:rsidTr="00DA42D8">
        <w:trPr>
          <w:trHeight w:val="315"/>
        </w:trPr>
        <w:tc>
          <w:tcPr>
            <w:tcW w:w="9322" w:type="dxa"/>
          </w:tcPr>
          <w:p w14:paraId="52205285" w14:textId="0C5B3B54" w:rsidR="009B6F8F" w:rsidRPr="00D32F75" w:rsidRDefault="004F437F" w:rsidP="00FC7CD5">
            <w:pPr>
              <w:rPr>
                <w:szCs w:val="24"/>
              </w:rPr>
            </w:pPr>
            <w:r>
              <w:rPr>
                <w:szCs w:val="24"/>
              </w:rPr>
              <w:t xml:space="preserve">D. </w:t>
            </w:r>
            <w:r w:rsidR="00D32F75" w:rsidRPr="00D32F75">
              <w:rPr>
                <w:szCs w:val="24"/>
              </w:rPr>
              <w:t xml:space="preserve">Zvyšovanie informovanosti v oblasti </w:t>
            </w:r>
            <w:proofErr w:type="spellStart"/>
            <w:r w:rsidR="00D32F75" w:rsidRPr="00D32F75">
              <w:rPr>
                <w:szCs w:val="24"/>
              </w:rPr>
              <w:t>nízkouhlíkových</w:t>
            </w:r>
            <w:proofErr w:type="spellEnd"/>
            <w:r w:rsidR="00D32F75" w:rsidRPr="00D32F75">
              <w:rPr>
                <w:szCs w:val="24"/>
              </w:rPr>
              <w:t xml:space="preserve"> opatrení najmä energetickej efektívnosti a využívania OZE vrátane poradenstva, informačných kampaní, odborných seminárov, konferencií a aktivít pre deti a</w:t>
            </w:r>
            <w:r w:rsidR="00472F20">
              <w:rPr>
                <w:szCs w:val="24"/>
              </w:rPr>
              <w:t> </w:t>
            </w:r>
            <w:r w:rsidR="00D32F75" w:rsidRPr="00D32F75">
              <w:rPr>
                <w:szCs w:val="24"/>
              </w:rPr>
              <w:t>mládež</w:t>
            </w:r>
          </w:p>
        </w:tc>
      </w:tr>
      <w:tr w:rsidR="00DE377F" w:rsidRPr="0016749B" w14:paraId="0C7F21F3" w14:textId="77777777" w:rsidTr="00DA42D8">
        <w:trPr>
          <w:trHeight w:val="315"/>
        </w:trPr>
        <w:tc>
          <w:tcPr>
            <w:tcW w:w="9322" w:type="dxa"/>
            <w:hideMark/>
          </w:tcPr>
          <w:p w14:paraId="582E8A5E" w14:textId="77777777" w:rsidR="00DE377F" w:rsidRPr="0016749B" w:rsidRDefault="00DE377F" w:rsidP="00FC7CD5">
            <w:pPr>
              <w:rPr>
                <w:b/>
                <w:bCs/>
              </w:rPr>
            </w:pPr>
            <w:r w:rsidRPr="0016749B">
              <w:rPr>
                <w:b/>
                <w:bCs/>
              </w:rPr>
              <w:t>Kategórie regiónov:</w:t>
            </w:r>
          </w:p>
        </w:tc>
      </w:tr>
      <w:tr w:rsidR="00DE377F" w:rsidRPr="0016749B" w14:paraId="133A903C" w14:textId="77777777" w:rsidTr="00DA42D8">
        <w:trPr>
          <w:trHeight w:val="330"/>
        </w:trPr>
        <w:tc>
          <w:tcPr>
            <w:tcW w:w="9322" w:type="dxa"/>
            <w:hideMark/>
          </w:tcPr>
          <w:p w14:paraId="04462D0A" w14:textId="77777777" w:rsidR="00DE377F" w:rsidRPr="004F437F" w:rsidRDefault="00DE377F" w:rsidP="004F437F">
            <w:pPr>
              <w:rPr>
                <w:szCs w:val="24"/>
              </w:rPr>
            </w:pPr>
            <w:r w:rsidRPr="00AD3D29">
              <w:rPr>
                <w:strike/>
                <w:szCs w:val="24"/>
              </w:rPr>
              <w:t>Rozvinuté</w:t>
            </w:r>
            <w:r w:rsidRPr="00AD3D29">
              <w:rPr>
                <w:szCs w:val="24"/>
              </w:rPr>
              <w:t>/Menej rozvinuté</w:t>
            </w:r>
            <w:r w:rsidR="002F393A" w:rsidRPr="004F437F">
              <w:rPr>
                <w:szCs w:val="24"/>
              </w:rPr>
              <w:t xml:space="preserve"> </w:t>
            </w:r>
          </w:p>
        </w:tc>
      </w:tr>
      <w:tr w:rsidR="008D6D59" w:rsidRPr="0016749B" w14:paraId="6E41FAD8" w14:textId="77777777" w:rsidTr="00DA42D8">
        <w:trPr>
          <w:trHeight w:val="330"/>
        </w:trPr>
        <w:tc>
          <w:tcPr>
            <w:tcW w:w="9322" w:type="dxa"/>
          </w:tcPr>
          <w:p w14:paraId="48BBF8BB" w14:textId="77777777" w:rsidR="008D6D59" w:rsidRPr="0016749B" w:rsidRDefault="008D6D59" w:rsidP="00FC7CD5">
            <w:pPr>
              <w:rPr>
                <w:b/>
              </w:rPr>
            </w:pPr>
            <w:r w:rsidRPr="0016749B">
              <w:rPr>
                <w:b/>
              </w:rPr>
              <w:t>Forma financovania:</w:t>
            </w:r>
          </w:p>
        </w:tc>
      </w:tr>
      <w:tr w:rsidR="008D6D59" w:rsidRPr="0016749B" w14:paraId="7F8E3AEC" w14:textId="77777777" w:rsidTr="00DA42D8">
        <w:trPr>
          <w:trHeight w:val="330"/>
        </w:trPr>
        <w:tc>
          <w:tcPr>
            <w:tcW w:w="9322" w:type="dxa"/>
          </w:tcPr>
          <w:p w14:paraId="7441134C" w14:textId="251A43E4" w:rsidR="008D6D59" w:rsidRPr="000F655A" w:rsidRDefault="000F655A" w:rsidP="00AB5576">
            <w:pPr>
              <w:rPr>
                <w:szCs w:val="24"/>
              </w:rPr>
            </w:pPr>
            <w:r>
              <w:rPr>
                <w:szCs w:val="24"/>
              </w:rPr>
              <w:t>Nenávratný finančný príspevok</w:t>
            </w:r>
            <w:r w:rsidR="005F2084">
              <w:rPr>
                <w:szCs w:val="24"/>
              </w:rPr>
              <w:t xml:space="preserve"> </w:t>
            </w:r>
          </w:p>
        </w:tc>
      </w:tr>
      <w:tr w:rsidR="00913E3B" w:rsidRPr="0016749B" w14:paraId="75238AAE" w14:textId="77777777" w:rsidTr="00DA42D8">
        <w:trPr>
          <w:trHeight w:val="330"/>
        </w:trPr>
        <w:tc>
          <w:tcPr>
            <w:tcW w:w="9322" w:type="dxa"/>
          </w:tcPr>
          <w:p w14:paraId="195618EB" w14:textId="77777777" w:rsidR="00913E3B" w:rsidRDefault="00FB19F1" w:rsidP="005F2084">
            <w:pPr>
              <w:rPr>
                <w:b/>
                <w:bCs/>
              </w:rPr>
            </w:pPr>
            <w:r>
              <w:rPr>
                <w:b/>
                <w:bCs/>
              </w:rPr>
              <w:t>Identifikácia</w:t>
            </w:r>
            <w:r w:rsidR="00913E3B" w:rsidRPr="0016749B">
              <w:rPr>
                <w:b/>
                <w:bCs/>
              </w:rPr>
              <w:t xml:space="preserve"> </w:t>
            </w:r>
            <w:proofErr w:type="spellStart"/>
            <w:r w:rsidR="00913E3B" w:rsidRPr="0016749B">
              <w:rPr>
                <w:b/>
                <w:bCs/>
              </w:rPr>
              <w:t>komplementarity</w:t>
            </w:r>
            <w:proofErr w:type="spellEnd"/>
            <w:r w:rsidR="00913E3B" w:rsidRPr="0016749B">
              <w:rPr>
                <w:b/>
                <w:bCs/>
              </w:rPr>
              <w:t xml:space="preserve"> a</w:t>
            </w:r>
            <w:r>
              <w:rPr>
                <w:b/>
                <w:bCs/>
              </w:rPr>
              <w:t> </w:t>
            </w:r>
            <w:r w:rsidR="00913E3B" w:rsidRPr="0016749B">
              <w:rPr>
                <w:b/>
                <w:bCs/>
              </w:rPr>
              <w:t>synergie</w:t>
            </w:r>
            <w:r>
              <w:rPr>
                <w:b/>
                <w:bCs/>
              </w:rPr>
              <w:t>:</w:t>
            </w:r>
            <w:r w:rsidR="00913E3B" w:rsidRPr="0016749B">
              <w:rPr>
                <w:b/>
                <w:bCs/>
              </w:rPr>
              <w:t xml:space="preserve"> </w:t>
            </w:r>
          </w:p>
          <w:p w14:paraId="1706A639" w14:textId="160A7CE8" w:rsidR="004E7180" w:rsidRPr="00947F95" w:rsidRDefault="00C40DED" w:rsidP="004E7180">
            <w:r>
              <w:rPr>
                <w:bCs/>
              </w:rPr>
              <w:t xml:space="preserve">V </w:t>
            </w:r>
            <w:r w:rsidRPr="002D27A9">
              <w:rPr>
                <w:bCs/>
              </w:rPr>
              <w:t xml:space="preserve">zmysle </w:t>
            </w:r>
            <w:r>
              <w:rPr>
                <w:bCs/>
              </w:rPr>
              <w:t>P</w:t>
            </w:r>
            <w:r w:rsidRPr="002D27A9">
              <w:rPr>
                <w:bCs/>
              </w:rPr>
              <w:t>rílohy č. 1</w:t>
            </w:r>
            <w:r>
              <w:rPr>
                <w:bCs/>
              </w:rPr>
              <w:t xml:space="preserve"> Identifikované synergie a </w:t>
            </w:r>
            <w:proofErr w:type="spellStart"/>
            <w:r>
              <w:rPr>
                <w:bCs/>
              </w:rPr>
              <w:t>komplementarity</w:t>
            </w:r>
            <w:proofErr w:type="spellEnd"/>
            <w:r>
              <w:rPr>
                <w:bCs/>
              </w:rPr>
              <w:t xml:space="preserve"> na programovej úrovni, </w:t>
            </w:r>
            <w:r w:rsidRPr="002D27A9">
              <w:rPr>
                <w:bCs/>
              </w:rPr>
              <w:t xml:space="preserve">Metodického pokynu CKO č. 11 </w:t>
            </w:r>
            <w:r>
              <w:rPr>
                <w:lang w:eastAsia="sk-SK"/>
              </w:rPr>
              <w:t xml:space="preserve">k zabezpečeniu koordinácie synergických účinkov medzi EŠIF a inými nástrojmi podpory EÚ a SR, nie je v prípade tohto projektu identifikovaná </w:t>
            </w:r>
            <w:r w:rsidRPr="002D27A9">
              <w:rPr>
                <w:bCs/>
              </w:rPr>
              <w:t>synergia a </w:t>
            </w:r>
            <w:proofErr w:type="spellStart"/>
            <w:r w:rsidRPr="002D27A9">
              <w:rPr>
                <w:bCs/>
              </w:rPr>
              <w:t>komplementarita</w:t>
            </w:r>
            <w:proofErr w:type="spellEnd"/>
            <w:r w:rsidRPr="002D27A9">
              <w:rPr>
                <w:bCs/>
              </w:rPr>
              <w:t xml:space="preserve"> na programovej úrovni.</w:t>
            </w:r>
          </w:p>
        </w:tc>
      </w:tr>
    </w:tbl>
    <w:p w14:paraId="6F8C3B54" w14:textId="77777777" w:rsidR="00B105A2" w:rsidRPr="0016749B" w:rsidRDefault="00B105A2" w:rsidP="00842610">
      <w:pPr>
        <w:spacing w:after="180" w:line="240" w:lineRule="auto"/>
      </w:pPr>
    </w:p>
    <w:tbl>
      <w:tblPr>
        <w:tblStyle w:val="Mriekatabuky2"/>
        <w:tblW w:w="9322" w:type="dxa"/>
        <w:tblLook w:val="04A0" w:firstRow="1" w:lastRow="0" w:firstColumn="1" w:lastColumn="0" w:noHBand="0" w:noVBand="1"/>
      </w:tblPr>
      <w:tblGrid>
        <w:gridCol w:w="675"/>
        <w:gridCol w:w="2552"/>
        <w:gridCol w:w="2268"/>
        <w:gridCol w:w="2126"/>
        <w:gridCol w:w="1701"/>
      </w:tblGrid>
      <w:tr w:rsidR="002C6F90" w:rsidRPr="002C6F90" w14:paraId="62302C47" w14:textId="77777777" w:rsidTr="00DE70E2">
        <w:trPr>
          <w:trHeight w:val="346"/>
        </w:trPr>
        <w:tc>
          <w:tcPr>
            <w:tcW w:w="9322" w:type="dxa"/>
            <w:gridSpan w:val="5"/>
            <w:shd w:val="clear" w:color="auto" w:fill="CCC0D9" w:themeFill="accent4" w:themeFillTint="66"/>
            <w:hideMark/>
          </w:tcPr>
          <w:p w14:paraId="71CD0B1C" w14:textId="77777777" w:rsidR="002C6F90" w:rsidRPr="002C6F90" w:rsidRDefault="002C6F90" w:rsidP="00D45AF5">
            <w:pPr>
              <w:jc w:val="center"/>
              <w:rPr>
                <w:b/>
                <w:bCs/>
                <w:szCs w:val="24"/>
              </w:rPr>
            </w:pPr>
            <w:r w:rsidRPr="002C6F90">
              <w:rPr>
                <w:b/>
                <w:bCs/>
                <w:szCs w:val="24"/>
              </w:rPr>
              <w:t>6. Miesto realizácie projektu</w:t>
            </w:r>
          </w:p>
        </w:tc>
      </w:tr>
      <w:tr w:rsidR="002C6F90" w:rsidRPr="002C6F90" w14:paraId="1D481D53" w14:textId="77777777" w:rsidTr="00DE70E2">
        <w:trPr>
          <w:trHeight w:val="420"/>
        </w:trPr>
        <w:tc>
          <w:tcPr>
            <w:tcW w:w="675" w:type="dxa"/>
            <w:hideMark/>
          </w:tcPr>
          <w:p w14:paraId="6D1F8A6A" w14:textId="77777777" w:rsidR="002C6F90" w:rsidRPr="002C6F90" w:rsidRDefault="002C6F90" w:rsidP="003C04C0">
            <w:pPr>
              <w:jc w:val="center"/>
              <w:rPr>
                <w:b/>
                <w:bCs/>
                <w:szCs w:val="24"/>
              </w:rPr>
            </w:pPr>
            <w:r w:rsidRPr="002C6F90">
              <w:rPr>
                <w:b/>
                <w:bCs/>
                <w:szCs w:val="24"/>
              </w:rPr>
              <w:t>Štát</w:t>
            </w:r>
          </w:p>
        </w:tc>
        <w:tc>
          <w:tcPr>
            <w:tcW w:w="2552" w:type="dxa"/>
          </w:tcPr>
          <w:p w14:paraId="6E0DF08D" w14:textId="77777777" w:rsidR="002C6F90" w:rsidRPr="002C6F90" w:rsidRDefault="002C6F90" w:rsidP="00DE70E2">
            <w:pPr>
              <w:jc w:val="center"/>
              <w:rPr>
                <w:b/>
                <w:bCs/>
                <w:szCs w:val="24"/>
              </w:rPr>
            </w:pPr>
            <w:r w:rsidRPr="002C6F90">
              <w:rPr>
                <w:b/>
                <w:bCs/>
                <w:szCs w:val="24"/>
              </w:rPr>
              <w:t>Región</w:t>
            </w:r>
            <w:r w:rsidR="00E51068">
              <w:rPr>
                <w:b/>
                <w:bCs/>
                <w:szCs w:val="24"/>
              </w:rPr>
              <w:t xml:space="preserve"> </w:t>
            </w:r>
            <w:r w:rsidRPr="002C6F90">
              <w:rPr>
                <w:b/>
                <w:bCs/>
                <w:szCs w:val="24"/>
              </w:rPr>
              <w:t>(NUTS II)</w:t>
            </w:r>
          </w:p>
        </w:tc>
        <w:tc>
          <w:tcPr>
            <w:tcW w:w="2268" w:type="dxa"/>
          </w:tcPr>
          <w:p w14:paraId="27D24EBB" w14:textId="77777777" w:rsidR="002C6F90" w:rsidRPr="002C6F90" w:rsidRDefault="002C6F90" w:rsidP="00DE70E2">
            <w:pPr>
              <w:jc w:val="center"/>
              <w:rPr>
                <w:b/>
                <w:bCs/>
                <w:szCs w:val="24"/>
              </w:rPr>
            </w:pPr>
            <w:r w:rsidRPr="002C6F90">
              <w:rPr>
                <w:b/>
                <w:bCs/>
                <w:szCs w:val="24"/>
              </w:rPr>
              <w:t>Vyšší územný celok</w:t>
            </w:r>
            <w:r w:rsidR="00736143">
              <w:rPr>
                <w:b/>
                <w:bCs/>
                <w:szCs w:val="24"/>
              </w:rPr>
              <w:t xml:space="preserve"> </w:t>
            </w:r>
            <w:r w:rsidRPr="002C6F90">
              <w:rPr>
                <w:b/>
                <w:bCs/>
                <w:szCs w:val="24"/>
              </w:rPr>
              <w:t>(NUTS III)</w:t>
            </w:r>
          </w:p>
        </w:tc>
        <w:tc>
          <w:tcPr>
            <w:tcW w:w="2126" w:type="dxa"/>
            <w:hideMark/>
          </w:tcPr>
          <w:p w14:paraId="4A231900" w14:textId="77777777" w:rsidR="002C6F90" w:rsidRPr="002C6F90" w:rsidRDefault="002C6F90" w:rsidP="00DE70E2">
            <w:pPr>
              <w:jc w:val="center"/>
              <w:rPr>
                <w:b/>
                <w:bCs/>
                <w:szCs w:val="24"/>
              </w:rPr>
            </w:pPr>
            <w:r w:rsidRPr="002C6F90">
              <w:rPr>
                <w:b/>
                <w:bCs/>
                <w:szCs w:val="24"/>
              </w:rPr>
              <w:t>Okres (NUTS IV)</w:t>
            </w:r>
          </w:p>
        </w:tc>
        <w:tc>
          <w:tcPr>
            <w:tcW w:w="1701" w:type="dxa"/>
          </w:tcPr>
          <w:p w14:paraId="3F82F043" w14:textId="77777777" w:rsidR="002C6F90" w:rsidRPr="002C6F90" w:rsidRDefault="002C6F90" w:rsidP="00DE70E2">
            <w:pPr>
              <w:jc w:val="center"/>
              <w:rPr>
                <w:b/>
                <w:bCs/>
                <w:szCs w:val="24"/>
              </w:rPr>
            </w:pPr>
            <w:r w:rsidRPr="002C6F90">
              <w:rPr>
                <w:b/>
                <w:bCs/>
                <w:szCs w:val="24"/>
              </w:rPr>
              <w:t>Obec</w:t>
            </w:r>
          </w:p>
        </w:tc>
      </w:tr>
      <w:tr w:rsidR="002C6F90" w:rsidRPr="002C6F90" w14:paraId="21335361" w14:textId="77777777" w:rsidTr="00947F95">
        <w:trPr>
          <w:trHeight w:val="693"/>
        </w:trPr>
        <w:tc>
          <w:tcPr>
            <w:tcW w:w="675" w:type="dxa"/>
            <w:hideMark/>
          </w:tcPr>
          <w:p w14:paraId="7299AA9A" w14:textId="77777777" w:rsidR="002C6F90" w:rsidRPr="002C6F90" w:rsidRDefault="002C6F90" w:rsidP="003C04C0">
            <w:pPr>
              <w:jc w:val="center"/>
              <w:rPr>
                <w:bCs/>
                <w:szCs w:val="24"/>
              </w:rPr>
            </w:pPr>
            <w:r w:rsidRPr="002C6F90">
              <w:rPr>
                <w:bCs/>
                <w:szCs w:val="24"/>
              </w:rPr>
              <w:t>SR</w:t>
            </w:r>
          </w:p>
        </w:tc>
        <w:tc>
          <w:tcPr>
            <w:tcW w:w="2552" w:type="dxa"/>
          </w:tcPr>
          <w:p w14:paraId="0C32D1A8" w14:textId="77777777" w:rsidR="002C6F90" w:rsidRPr="002C6F90" w:rsidRDefault="002C6F90" w:rsidP="0076494F">
            <w:pPr>
              <w:ind w:left="33" w:firstLine="1"/>
              <w:jc w:val="center"/>
              <w:rPr>
                <w:bCs/>
                <w:szCs w:val="24"/>
              </w:rPr>
            </w:pPr>
            <w:r w:rsidRPr="002C6F90">
              <w:rPr>
                <w:bCs/>
                <w:szCs w:val="24"/>
              </w:rPr>
              <w:t>Západné Slovensko</w:t>
            </w:r>
          </w:p>
          <w:p w14:paraId="14A1C950" w14:textId="77777777" w:rsidR="002C6F90" w:rsidRPr="002C6F90" w:rsidRDefault="002C6F90" w:rsidP="003C04C0">
            <w:pPr>
              <w:ind w:left="360" w:hanging="185"/>
              <w:contextualSpacing/>
              <w:jc w:val="center"/>
              <w:rPr>
                <w:bCs/>
                <w:szCs w:val="24"/>
              </w:rPr>
            </w:pPr>
          </w:p>
        </w:tc>
        <w:tc>
          <w:tcPr>
            <w:tcW w:w="2268" w:type="dxa"/>
          </w:tcPr>
          <w:p w14:paraId="1DB4CD25" w14:textId="3BDC0E32" w:rsidR="00AB5576" w:rsidRDefault="00AB5576" w:rsidP="003C04C0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Bratislavský kraj*</w:t>
            </w:r>
          </w:p>
          <w:p w14:paraId="3C2EB811" w14:textId="77777777" w:rsidR="005F0C9C" w:rsidRDefault="002C6F90" w:rsidP="003C04C0">
            <w:pPr>
              <w:jc w:val="center"/>
              <w:rPr>
                <w:bCs/>
                <w:szCs w:val="24"/>
              </w:rPr>
            </w:pPr>
            <w:r w:rsidRPr="002C6F90">
              <w:rPr>
                <w:bCs/>
                <w:szCs w:val="24"/>
              </w:rPr>
              <w:t>Trnavský</w:t>
            </w:r>
            <w:r w:rsidR="005F0C9C">
              <w:rPr>
                <w:bCs/>
                <w:szCs w:val="24"/>
              </w:rPr>
              <w:t xml:space="preserve"> kraj</w:t>
            </w:r>
          </w:p>
          <w:p w14:paraId="675843C8" w14:textId="77777777" w:rsidR="0060397D" w:rsidRDefault="0060397D" w:rsidP="003C04C0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Trenčiansky kraj</w:t>
            </w:r>
          </w:p>
          <w:p w14:paraId="402D472B" w14:textId="77777777" w:rsidR="002C6F90" w:rsidRPr="002C6F90" w:rsidRDefault="002C6F90" w:rsidP="003C04C0">
            <w:pPr>
              <w:jc w:val="center"/>
              <w:rPr>
                <w:bCs/>
                <w:szCs w:val="24"/>
              </w:rPr>
            </w:pPr>
            <w:r w:rsidRPr="002C6F90">
              <w:rPr>
                <w:bCs/>
                <w:szCs w:val="24"/>
              </w:rPr>
              <w:t>Nitriansky</w:t>
            </w:r>
            <w:r w:rsidR="003C04C0">
              <w:rPr>
                <w:bCs/>
                <w:szCs w:val="24"/>
              </w:rPr>
              <w:t xml:space="preserve"> kraj</w:t>
            </w:r>
          </w:p>
        </w:tc>
        <w:tc>
          <w:tcPr>
            <w:tcW w:w="2126" w:type="dxa"/>
          </w:tcPr>
          <w:p w14:paraId="24100B99" w14:textId="7BAB3899" w:rsidR="002C6F90" w:rsidRPr="002C6F90" w:rsidRDefault="002C6F90" w:rsidP="003C04C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</w:tcPr>
          <w:p w14:paraId="1699B14B" w14:textId="72A73D51" w:rsidR="002C6F90" w:rsidRPr="002C6F90" w:rsidRDefault="002C6F90" w:rsidP="003C04C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1068" w:rsidRPr="002C6F90" w14:paraId="6889196B" w14:textId="77777777" w:rsidTr="00DE70E2">
        <w:trPr>
          <w:trHeight w:val="570"/>
        </w:trPr>
        <w:tc>
          <w:tcPr>
            <w:tcW w:w="675" w:type="dxa"/>
          </w:tcPr>
          <w:p w14:paraId="49126E81" w14:textId="77777777" w:rsidR="00E51068" w:rsidRPr="002C6F90" w:rsidRDefault="00E51068" w:rsidP="003C04C0">
            <w:pPr>
              <w:jc w:val="center"/>
              <w:rPr>
                <w:bCs/>
                <w:szCs w:val="24"/>
              </w:rPr>
            </w:pPr>
            <w:r w:rsidRPr="002C6F90">
              <w:rPr>
                <w:bCs/>
                <w:szCs w:val="24"/>
              </w:rPr>
              <w:t>SR</w:t>
            </w:r>
          </w:p>
        </w:tc>
        <w:tc>
          <w:tcPr>
            <w:tcW w:w="2552" w:type="dxa"/>
          </w:tcPr>
          <w:p w14:paraId="63262287" w14:textId="77777777" w:rsidR="00E51068" w:rsidRPr="00953B0F" w:rsidRDefault="00E51068" w:rsidP="0076494F">
            <w:pPr>
              <w:ind w:left="34" w:hanging="142"/>
              <w:jc w:val="center"/>
              <w:rPr>
                <w:bCs/>
                <w:szCs w:val="24"/>
              </w:rPr>
            </w:pPr>
            <w:r w:rsidRPr="00953B0F">
              <w:rPr>
                <w:bCs/>
                <w:szCs w:val="24"/>
              </w:rPr>
              <w:t>Stredné Slovensko</w:t>
            </w:r>
          </w:p>
          <w:p w14:paraId="490782D0" w14:textId="77777777" w:rsidR="00E51068" w:rsidRPr="002C6F90" w:rsidRDefault="00E51068" w:rsidP="003C04C0">
            <w:pPr>
              <w:ind w:left="535"/>
              <w:jc w:val="center"/>
              <w:rPr>
                <w:bCs/>
                <w:szCs w:val="24"/>
              </w:rPr>
            </w:pPr>
          </w:p>
        </w:tc>
        <w:tc>
          <w:tcPr>
            <w:tcW w:w="2268" w:type="dxa"/>
          </w:tcPr>
          <w:p w14:paraId="4032435F" w14:textId="77777777" w:rsidR="00E51068" w:rsidRDefault="00E51068" w:rsidP="003C04C0">
            <w:pPr>
              <w:jc w:val="center"/>
              <w:rPr>
                <w:bCs/>
                <w:szCs w:val="24"/>
              </w:rPr>
            </w:pPr>
            <w:r w:rsidRPr="002C6F90">
              <w:rPr>
                <w:bCs/>
                <w:szCs w:val="24"/>
              </w:rPr>
              <w:t>Banskobystrický</w:t>
            </w:r>
            <w:r>
              <w:rPr>
                <w:bCs/>
                <w:szCs w:val="24"/>
              </w:rPr>
              <w:t xml:space="preserve"> kraj</w:t>
            </w:r>
          </w:p>
          <w:p w14:paraId="634F7D3C" w14:textId="77777777" w:rsidR="00E51068" w:rsidRPr="002C6F90" w:rsidRDefault="00E51068" w:rsidP="003C04C0">
            <w:pPr>
              <w:jc w:val="center"/>
              <w:rPr>
                <w:bCs/>
                <w:szCs w:val="24"/>
              </w:rPr>
            </w:pPr>
            <w:r w:rsidRPr="002C6F90">
              <w:rPr>
                <w:bCs/>
                <w:szCs w:val="24"/>
              </w:rPr>
              <w:t>Žilinský</w:t>
            </w:r>
            <w:r>
              <w:rPr>
                <w:bCs/>
                <w:szCs w:val="24"/>
              </w:rPr>
              <w:t xml:space="preserve"> kraj</w:t>
            </w:r>
          </w:p>
        </w:tc>
        <w:tc>
          <w:tcPr>
            <w:tcW w:w="2126" w:type="dxa"/>
          </w:tcPr>
          <w:p w14:paraId="7B844BF2" w14:textId="14E83075" w:rsidR="00E51068" w:rsidRPr="002C6F90" w:rsidRDefault="00E51068" w:rsidP="003C04C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</w:tcPr>
          <w:p w14:paraId="1D628B5C" w14:textId="2A97BEDD" w:rsidR="00E51068" w:rsidRPr="002C6F90" w:rsidRDefault="00E51068" w:rsidP="003C04C0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51068" w:rsidRPr="002C6F90" w14:paraId="45988EC4" w14:textId="77777777" w:rsidTr="00DE70E2">
        <w:trPr>
          <w:trHeight w:val="549"/>
        </w:trPr>
        <w:tc>
          <w:tcPr>
            <w:tcW w:w="675" w:type="dxa"/>
          </w:tcPr>
          <w:p w14:paraId="6EA10545" w14:textId="77777777" w:rsidR="00E51068" w:rsidRPr="002C6F90" w:rsidRDefault="00E51068" w:rsidP="003C04C0">
            <w:pPr>
              <w:jc w:val="center"/>
              <w:rPr>
                <w:bCs/>
                <w:szCs w:val="24"/>
              </w:rPr>
            </w:pPr>
            <w:r w:rsidRPr="002C6F90">
              <w:rPr>
                <w:bCs/>
                <w:szCs w:val="24"/>
              </w:rPr>
              <w:t>SR</w:t>
            </w:r>
          </w:p>
        </w:tc>
        <w:tc>
          <w:tcPr>
            <w:tcW w:w="2552" w:type="dxa"/>
          </w:tcPr>
          <w:p w14:paraId="32541B62" w14:textId="77777777" w:rsidR="00E51068" w:rsidRPr="002C6F90" w:rsidRDefault="00E51068" w:rsidP="003C04C0">
            <w:pPr>
              <w:tabs>
                <w:tab w:val="left" w:pos="-108"/>
              </w:tabs>
              <w:ind w:left="71" w:hanging="71"/>
              <w:jc w:val="center"/>
              <w:rPr>
                <w:bCs/>
                <w:szCs w:val="24"/>
              </w:rPr>
            </w:pPr>
            <w:r w:rsidRPr="00953B0F">
              <w:rPr>
                <w:bCs/>
                <w:szCs w:val="24"/>
              </w:rPr>
              <w:t>Východné Slovensko</w:t>
            </w:r>
          </w:p>
        </w:tc>
        <w:tc>
          <w:tcPr>
            <w:tcW w:w="2268" w:type="dxa"/>
          </w:tcPr>
          <w:p w14:paraId="5FAB470E" w14:textId="77777777" w:rsidR="00E51068" w:rsidRPr="002C6F90" w:rsidRDefault="00E51068" w:rsidP="003C04C0">
            <w:pPr>
              <w:jc w:val="center"/>
              <w:rPr>
                <w:bCs/>
                <w:szCs w:val="24"/>
              </w:rPr>
            </w:pPr>
            <w:r w:rsidRPr="002C6F90">
              <w:rPr>
                <w:bCs/>
                <w:szCs w:val="24"/>
              </w:rPr>
              <w:t>Prešovský</w:t>
            </w:r>
            <w:r w:rsidR="005F0C9C">
              <w:rPr>
                <w:bCs/>
                <w:szCs w:val="24"/>
              </w:rPr>
              <w:t xml:space="preserve"> kraj </w:t>
            </w:r>
            <w:r>
              <w:rPr>
                <w:bCs/>
                <w:szCs w:val="24"/>
              </w:rPr>
              <w:t xml:space="preserve"> </w:t>
            </w:r>
            <w:r w:rsidRPr="002C6F90">
              <w:rPr>
                <w:bCs/>
                <w:szCs w:val="24"/>
              </w:rPr>
              <w:t xml:space="preserve"> Košický kraj</w:t>
            </w:r>
          </w:p>
        </w:tc>
        <w:tc>
          <w:tcPr>
            <w:tcW w:w="2126" w:type="dxa"/>
          </w:tcPr>
          <w:p w14:paraId="48D1D6BA" w14:textId="1A81ED45" w:rsidR="00E51068" w:rsidRPr="002C6F90" w:rsidRDefault="00E51068" w:rsidP="003C04C0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</w:tcPr>
          <w:p w14:paraId="352773F7" w14:textId="05782066" w:rsidR="00E51068" w:rsidRPr="002C6F90" w:rsidRDefault="00E51068" w:rsidP="003C04C0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14:paraId="64C3ACE6" w14:textId="69048C75" w:rsidR="007A79D9" w:rsidRDefault="00AB5576" w:rsidP="007A79D9">
      <w:pPr>
        <w:spacing w:after="0" w:line="240" w:lineRule="auto"/>
        <w:rPr>
          <w:sz w:val="23"/>
          <w:szCs w:val="23"/>
        </w:rPr>
      </w:pPr>
      <w:r>
        <w:t xml:space="preserve">* </w:t>
      </w:r>
      <w:r>
        <w:rPr>
          <w:sz w:val="23"/>
          <w:szCs w:val="23"/>
        </w:rPr>
        <w:t>prípade realizácie aktivít D, E, F špecifického cieľa 4.4.1, ktoré zasahujú svojím účinkom celé územie SR sa oprávnenosť výdavkov týchto aktivít pomerne (</w:t>
      </w:r>
      <w:proofErr w:type="spellStart"/>
      <w:r>
        <w:rPr>
          <w:sz w:val="23"/>
          <w:szCs w:val="23"/>
        </w:rPr>
        <w:t>pro</w:t>
      </w:r>
      <w:proofErr w:type="spellEnd"/>
      <w:r>
        <w:rPr>
          <w:sz w:val="23"/>
          <w:szCs w:val="23"/>
        </w:rPr>
        <w:t xml:space="preserve"> rata) znižuje, keďže územie Bratislavského kraja nie je oprávnené na podporu z EFRR pre menej rozvinuté regióny</w:t>
      </w:r>
      <w:r w:rsidR="007A79D9">
        <w:rPr>
          <w:sz w:val="23"/>
          <w:szCs w:val="23"/>
        </w:rPr>
        <w:t>.</w:t>
      </w:r>
    </w:p>
    <w:p w14:paraId="08A9CC59" w14:textId="6E8D4768" w:rsidR="002C6F90" w:rsidRDefault="002C6F90" w:rsidP="00842610">
      <w:pPr>
        <w:spacing w:after="180" w:line="240" w:lineRule="auto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DE377F" w:rsidRPr="0016749B" w14:paraId="2F515773" w14:textId="77777777" w:rsidTr="0009714B">
        <w:trPr>
          <w:trHeight w:val="330"/>
        </w:trPr>
        <w:tc>
          <w:tcPr>
            <w:tcW w:w="9322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75112F52" w14:textId="77777777" w:rsidR="00DE377F" w:rsidRPr="0016749B" w:rsidRDefault="00DE377F" w:rsidP="00027136">
            <w:pPr>
              <w:jc w:val="center"/>
              <w:rPr>
                <w:b/>
                <w:bCs/>
              </w:rPr>
            </w:pPr>
            <w:r w:rsidRPr="0016749B">
              <w:rPr>
                <w:b/>
                <w:bCs/>
              </w:rPr>
              <w:t xml:space="preserve">7. </w:t>
            </w:r>
            <w:r w:rsidR="00F05422">
              <w:rPr>
                <w:b/>
                <w:bCs/>
              </w:rPr>
              <w:t>O</w:t>
            </w:r>
            <w:r w:rsidRPr="0016749B">
              <w:rPr>
                <w:b/>
                <w:bCs/>
              </w:rPr>
              <w:t>pis projektu</w:t>
            </w:r>
          </w:p>
        </w:tc>
      </w:tr>
      <w:tr w:rsidR="00AF6D51" w:rsidRPr="0016749B" w14:paraId="05885A45" w14:textId="77777777" w:rsidTr="0009714B">
        <w:trPr>
          <w:trHeight w:val="330"/>
        </w:trPr>
        <w:tc>
          <w:tcPr>
            <w:tcW w:w="9322" w:type="dxa"/>
            <w:shd w:val="clear" w:color="auto" w:fill="E5DFEC" w:themeFill="accent4" w:themeFillTint="33"/>
          </w:tcPr>
          <w:p w14:paraId="5E949797" w14:textId="77777777" w:rsidR="00AF6D51" w:rsidRPr="0016749B" w:rsidRDefault="00AF6D51" w:rsidP="00F05422">
            <w:pPr>
              <w:tabs>
                <w:tab w:val="left" w:pos="5898"/>
              </w:tabs>
              <w:jc w:val="center"/>
              <w:rPr>
                <w:b/>
              </w:rPr>
            </w:pPr>
            <w:r w:rsidRPr="0016749B">
              <w:rPr>
                <w:b/>
              </w:rPr>
              <w:t>Stručný opis projektu</w:t>
            </w:r>
          </w:p>
        </w:tc>
      </w:tr>
      <w:tr w:rsidR="00346F2F" w:rsidRPr="0016749B" w14:paraId="119AA94B" w14:textId="77777777" w:rsidTr="0009714B">
        <w:trPr>
          <w:trHeight w:val="330"/>
        </w:trPr>
        <w:tc>
          <w:tcPr>
            <w:tcW w:w="9322" w:type="dxa"/>
            <w:shd w:val="clear" w:color="auto" w:fill="auto"/>
          </w:tcPr>
          <w:p w14:paraId="5AFBB772" w14:textId="0063C996" w:rsidR="008843AF" w:rsidRDefault="00947F95" w:rsidP="00FC7CD5">
            <w:pPr>
              <w:widowControl w:val="0"/>
              <w:adjustRightInd w:val="0"/>
              <w:textAlignment w:val="baseline"/>
            </w:pPr>
            <w:r w:rsidRPr="00947F95">
              <w:t>Do roku 2020 sa S</w:t>
            </w:r>
            <w:r w:rsidR="00472F20">
              <w:t xml:space="preserve">lovenská republika </w:t>
            </w:r>
            <w:r w:rsidRPr="00947F95">
              <w:t xml:space="preserve"> zaviazala zvýšiť podiel</w:t>
            </w:r>
            <w:r w:rsidR="00472F20">
              <w:t xml:space="preserve"> obnoviteľných zdrojov energie (</w:t>
            </w:r>
            <w:r w:rsidRPr="00947F95">
              <w:t>OZE</w:t>
            </w:r>
            <w:r w:rsidR="00472F20">
              <w:t>)</w:t>
            </w:r>
            <w:r w:rsidRPr="00947F95">
              <w:t xml:space="preserve"> na hrubej konečnej energetickej spotrebe na 14</w:t>
            </w:r>
            <w:r w:rsidR="00982E5D">
              <w:t xml:space="preserve"> </w:t>
            </w:r>
            <w:r w:rsidRPr="00947F95">
              <w:t>% a znížiť konečnú energetickú spotrebu o</w:t>
            </w:r>
            <w:r w:rsidR="00982E5D">
              <w:t> </w:t>
            </w:r>
            <w:r w:rsidRPr="00947F95">
              <w:t>23</w:t>
            </w:r>
            <w:r w:rsidR="00982E5D">
              <w:t xml:space="preserve"> </w:t>
            </w:r>
            <w:r w:rsidRPr="00947F95">
              <w:t>%</w:t>
            </w:r>
            <w:r w:rsidR="00472F20">
              <w:t>,</w:t>
            </w:r>
            <w:r w:rsidRPr="00947F95">
              <w:t xml:space="preserve"> čomu zodpovedá zníženie spotreby primárnych energetických zdrojov o</w:t>
            </w:r>
            <w:r w:rsidR="00982E5D">
              <w:t xml:space="preserve"> </w:t>
            </w:r>
            <w:r w:rsidR="00611303">
              <w:t xml:space="preserve">                </w:t>
            </w:r>
            <w:r w:rsidRPr="00947F95">
              <w:t>20</w:t>
            </w:r>
            <w:r w:rsidR="00982E5D">
              <w:t xml:space="preserve"> </w:t>
            </w:r>
            <w:r w:rsidRPr="00947F95">
              <w:t>%. Poskytovanie poradenstva a zvyšovanie informovanosti v uvedenej oblasti bolo v posledných rokoch zintenzívnené a</w:t>
            </w:r>
            <w:r w:rsidR="00472F20">
              <w:t xml:space="preserve"> </w:t>
            </w:r>
            <w:r w:rsidRPr="00947F95">
              <w:t xml:space="preserve"> cielene orientované na uvedené ciele </w:t>
            </w:r>
            <w:r w:rsidR="00472F20">
              <w:t xml:space="preserve">avšak </w:t>
            </w:r>
            <w:r w:rsidRPr="00947F95">
              <w:t xml:space="preserve">bez dôrazu na významný dopad na znižovanie emisií skleníkových plynov. </w:t>
            </w:r>
            <w:r w:rsidR="00122AE5">
              <w:t>Dôležitým cieľom</w:t>
            </w:r>
            <w:r w:rsidR="004F1269">
              <w:t xml:space="preserve"> projektu je</w:t>
            </w:r>
            <w:r>
              <w:t xml:space="preserve"> </w:t>
            </w:r>
            <w:r>
              <w:lastRenderedPageBreak/>
              <w:t>preto</w:t>
            </w:r>
            <w:r w:rsidR="004F1269">
              <w:t xml:space="preserve"> </w:t>
            </w:r>
            <w:r w:rsidR="004F1269" w:rsidRPr="00703FB7">
              <w:rPr>
                <w:u w:val="single"/>
              </w:rPr>
              <w:t>pokračovanie a</w:t>
            </w:r>
            <w:r w:rsidR="00982E5D" w:rsidRPr="00703FB7">
              <w:rPr>
                <w:u w:val="single"/>
              </w:rPr>
              <w:t xml:space="preserve"> </w:t>
            </w:r>
            <w:r w:rsidR="004F1269" w:rsidRPr="00703FB7">
              <w:rPr>
                <w:u w:val="single"/>
              </w:rPr>
              <w:t xml:space="preserve">zintenzívnenie </w:t>
            </w:r>
            <w:r w:rsidR="00122AE5" w:rsidRPr="00703FB7">
              <w:rPr>
                <w:u w:val="single"/>
              </w:rPr>
              <w:t>poradenských aktivít</w:t>
            </w:r>
            <w:r w:rsidR="00122AE5">
              <w:t xml:space="preserve"> vytvorených a uskutočňovaných v rámci </w:t>
            </w:r>
            <w:r w:rsidR="00122AE5" w:rsidRPr="00122AE5">
              <w:t>národného projektu s názvom „</w:t>
            </w:r>
            <w:r w:rsidR="00122AE5" w:rsidRPr="00703FB7">
              <w:rPr>
                <w:i/>
              </w:rPr>
              <w:t>Podpora osvety a poradenstva v rámci efektívneho využívania energie a využívania OZE, vrátane zvýšenia informovanosti širokej verejnosti</w:t>
            </w:r>
            <w:r w:rsidR="00122AE5" w:rsidRPr="00122AE5">
              <w:t>“</w:t>
            </w:r>
            <w:r w:rsidR="00122AE5">
              <w:t xml:space="preserve"> (Žiť energiou).</w:t>
            </w:r>
            <w:r w:rsidR="00952017">
              <w:t xml:space="preserve"> </w:t>
            </w:r>
            <w:r w:rsidR="00122AE5">
              <w:t xml:space="preserve">Jedným z prostriedkov </w:t>
            </w:r>
            <w:r w:rsidR="00952017">
              <w:t>bude</w:t>
            </w:r>
            <w:r w:rsidR="00965A69">
              <w:t xml:space="preserve"> posilnenie, </w:t>
            </w:r>
            <w:r w:rsidR="00952017">
              <w:t>r</w:t>
            </w:r>
            <w:r w:rsidR="00122AE5">
              <w:t>ozšírenie</w:t>
            </w:r>
            <w:r w:rsidR="00965A69">
              <w:t xml:space="preserve"> a</w:t>
            </w:r>
            <w:r w:rsidR="00122AE5">
              <w:t> skvalitnenie</w:t>
            </w:r>
            <w:r w:rsidR="00952017">
              <w:t xml:space="preserve"> existujúcej siete poradenských centier Žiť energiou.</w:t>
            </w:r>
            <w:r w:rsidR="008843AF">
              <w:t xml:space="preserve"> Budú </w:t>
            </w:r>
            <w:r w:rsidR="00965A69">
              <w:t>tak odborným pracoviskom vybaveným</w:t>
            </w:r>
            <w:r w:rsidR="008843AF">
              <w:t xml:space="preserve"> najnovšími technickými prvkami, možnosťami a prostriedkami spĺňajúcimi kritéria moderného a účelného cent</w:t>
            </w:r>
            <w:r w:rsidR="00965A69">
              <w:t>ra prvého kontaktu. Nové poradenské centrá</w:t>
            </w:r>
            <w:r w:rsidR="008843AF">
              <w:t xml:space="preserve"> vzniknú na komunikačne, prípadne strategicky dôležitých miestach, ktoré určia potreby cieľových skupín. Z</w:t>
            </w:r>
            <w:r w:rsidR="00E203CC">
              <w:t xml:space="preserve"> </w:t>
            </w:r>
            <w:r w:rsidR="008843AF">
              <w:t>dôvodu zabezpečenia maximálnej profesionality, odbornosti a aktuálnosti bude potrebné pre zamestnancov zabezpečiť nepretržité získavanie praktických a odborných skúseností nielen na domácom, ale aj na zahraničnom trhu.</w:t>
            </w:r>
            <w:r w:rsidR="005A2CF5">
              <w:t xml:space="preserve"> </w:t>
            </w:r>
            <w:r w:rsidR="005A2CF5" w:rsidRPr="005A2CF5">
              <w:t>Za kľúčovú je</w:t>
            </w:r>
            <w:r w:rsidR="005A2CF5">
              <w:t xml:space="preserve"> preto považovaná</w:t>
            </w:r>
            <w:r w:rsidR="005A2CF5" w:rsidRPr="005A2CF5">
              <w:t xml:space="preserve"> intenzívna a kontinuálna výmena skúseností, informácií a tzv. najlepších praktík so zahraničnými odborníkmi.</w:t>
            </w:r>
            <w:r w:rsidR="008843AF">
              <w:t xml:space="preserve"> Pre zaistenie kontinuálneho poradenstva bude naďalej využívaná, prípadne rozšírená existujúca bezplatná poradenská telefonická linka</w:t>
            </w:r>
            <w:r w:rsidR="005A2CF5">
              <w:t xml:space="preserve">, ako aj webová stránka </w:t>
            </w:r>
            <w:hyperlink r:id="rId14" w:history="1">
              <w:r w:rsidR="005A2CF5" w:rsidRPr="00F57223">
                <w:rPr>
                  <w:rStyle w:val="Hypertextovprepojenie"/>
                </w:rPr>
                <w:t>www.zitenergiou.sk</w:t>
              </w:r>
            </w:hyperlink>
            <w:r w:rsidR="005A2CF5">
              <w:t>. Ich</w:t>
            </w:r>
            <w:r w:rsidR="008843AF">
              <w:t xml:space="preserve"> prostredníctvom bude poskytované poradenstvo a informácie aj pre záujemcov mimo miest s vybudovaným poradenským centrom.</w:t>
            </w:r>
          </w:p>
          <w:p w14:paraId="05B97AF7" w14:textId="77777777" w:rsidR="008843AF" w:rsidRDefault="008843AF" w:rsidP="00FC7CD5">
            <w:pPr>
              <w:widowControl w:val="0"/>
              <w:adjustRightInd w:val="0"/>
              <w:textAlignment w:val="baseline"/>
            </w:pPr>
          </w:p>
          <w:p w14:paraId="37AF1472" w14:textId="77777777" w:rsidR="008843AF" w:rsidRDefault="008843AF" w:rsidP="00FC7CD5">
            <w:r>
              <w:t>Zintenzívnením aktivít s deťmi a mládežou všetkých vekových kategórií sa u tejto špecifickej cieľovej skupiny významne zvýši informovanosť o danej problematike. Z hľadiska dosahovania dlhodobých výsledkov v tejto oblasti, je s ňou nevyhnutné naďalej intenzívne pracovať. Prácou s deťmi a mládežou sa vytvorí predpoklad pre dlhodobú udržateľnosť myšlienky efektívneho využívania prírodných zdrojov s minimálnym negatívnym dopadom na životné prostredie.</w:t>
            </w:r>
          </w:p>
          <w:p w14:paraId="52B03487" w14:textId="77777777" w:rsidR="008843AF" w:rsidRDefault="008843AF" w:rsidP="00FC7CD5"/>
          <w:p w14:paraId="4CDBF416" w14:textId="77777777" w:rsidR="007D422B" w:rsidRPr="0016749B" w:rsidRDefault="008843AF" w:rsidP="00FC7CD5">
            <w:pPr>
              <w:rPr>
                <w:b/>
              </w:rPr>
            </w:pPr>
            <w:r>
              <w:t>Uvedené činnosti prispejú k napĺňaniu cieľov v oblasti zvyšovania povedomia a kvalitného informovania o </w:t>
            </w:r>
            <w:proofErr w:type="spellStart"/>
            <w:r>
              <w:t>nízkouhlíkových</w:t>
            </w:r>
            <w:proofErr w:type="spellEnd"/>
            <w:r>
              <w:t xml:space="preserve"> opatreniach a energetickej efektívnosti stanovených vo vládou SR schválenom Návrhu energetickej politiky SR, ktoré budú bližšie špecifikované v plánovanej </w:t>
            </w:r>
            <w:r>
              <w:rPr>
                <w:i/>
                <w:iCs/>
              </w:rPr>
              <w:t xml:space="preserve">Národnej stratégii zvyšovania informovanosti a povedomia v oblasti energetickej efektívnosti, </w:t>
            </w:r>
            <w:r>
              <w:rPr>
                <w:iCs/>
              </w:rPr>
              <w:t>prípadne v ďalších strategických a koncepčných dokumentoch</w:t>
            </w:r>
            <w:r w:rsidR="005E4E07">
              <w:rPr>
                <w:iCs/>
              </w:rPr>
              <w:t>.</w:t>
            </w:r>
          </w:p>
          <w:p w14:paraId="2D2FD00D" w14:textId="77777777" w:rsidR="00064F35" w:rsidRDefault="00064F35" w:rsidP="00FC7CD5">
            <w:pPr>
              <w:rPr>
                <w:b/>
              </w:rPr>
            </w:pPr>
          </w:p>
          <w:p w14:paraId="1E4D5752" w14:textId="2ABB202F" w:rsidR="007D422B" w:rsidRPr="0016749B" w:rsidRDefault="00D8123B" w:rsidP="00FC7CD5">
            <w:pPr>
              <w:rPr>
                <w:b/>
              </w:rPr>
            </w:pPr>
            <w:r>
              <w:rPr>
                <w:b/>
              </w:rPr>
              <w:t xml:space="preserve">Cieľové </w:t>
            </w:r>
            <w:r w:rsidR="007D422B" w:rsidRPr="0016749B">
              <w:rPr>
                <w:b/>
              </w:rPr>
              <w:t xml:space="preserve">skupiny: </w:t>
            </w:r>
          </w:p>
          <w:p w14:paraId="181B9B0A" w14:textId="413DBDBD" w:rsidR="007D422B" w:rsidRPr="0016749B" w:rsidRDefault="007D422B" w:rsidP="00FC7CD5">
            <w:pPr>
              <w:numPr>
                <w:ilvl w:val="0"/>
                <w:numId w:val="6"/>
              </w:numPr>
            </w:pPr>
            <w:r w:rsidRPr="0016749B">
              <w:t>verejnosť (široká verejnosť, deti a</w:t>
            </w:r>
            <w:r w:rsidR="00AE0917">
              <w:t xml:space="preserve"> </w:t>
            </w:r>
            <w:r w:rsidRPr="0016749B">
              <w:t xml:space="preserve">mládež, médiá – ústredné, regionálne, mienkotvorné, odborné a iné)  </w:t>
            </w:r>
          </w:p>
          <w:p w14:paraId="76179596" w14:textId="244CE002" w:rsidR="007D422B" w:rsidRPr="0016749B" w:rsidRDefault="007D422B" w:rsidP="00FC7CD5">
            <w:pPr>
              <w:numPr>
                <w:ilvl w:val="0"/>
                <w:numId w:val="6"/>
              </w:numPr>
            </w:pPr>
            <w:r w:rsidRPr="0016749B">
              <w:t>subjekty ústrednej správy</w:t>
            </w:r>
          </w:p>
          <w:p w14:paraId="01D29C39" w14:textId="343A6BF8" w:rsidR="007D422B" w:rsidRPr="0016749B" w:rsidRDefault="007D422B" w:rsidP="00FC7CD5">
            <w:pPr>
              <w:numPr>
                <w:ilvl w:val="0"/>
                <w:numId w:val="6"/>
              </w:numPr>
            </w:pPr>
            <w:r w:rsidRPr="0016749B">
              <w:t>subjekty územnej samosprávy</w:t>
            </w:r>
          </w:p>
          <w:p w14:paraId="07BFEC96" w14:textId="404CC842" w:rsidR="007D422B" w:rsidRPr="0016749B" w:rsidRDefault="007D422B" w:rsidP="00FC7CD5">
            <w:pPr>
              <w:numPr>
                <w:ilvl w:val="0"/>
                <w:numId w:val="6"/>
              </w:numPr>
            </w:pPr>
            <w:r w:rsidRPr="0016749B">
              <w:t>subjekty súkromného sektora</w:t>
            </w:r>
          </w:p>
          <w:p w14:paraId="68E3DA9C" w14:textId="77777777" w:rsidR="007D422B" w:rsidRPr="0016749B" w:rsidRDefault="007D422B" w:rsidP="00FC7CD5"/>
          <w:p w14:paraId="08467246" w14:textId="4EAA1D6A" w:rsidR="00CF582D" w:rsidRPr="00256AFF" w:rsidRDefault="007D422B" w:rsidP="00DB27B6">
            <w:r w:rsidRPr="0016749B">
              <w:t>Každej z uvedených cieľových skupín sa bude venovať osobit</w:t>
            </w:r>
            <w:r w:rsidR="00D8123B">
              <w:t>n</w:t>
            </w:r>
            <w:r w:rsidRPr="0016749B">
              <w:t>á pozornosť so zreteľom na vekovú štruktúru, geog</w:t>
            </w:r>
            <w:r w:rsidR="00DB27B6">
              <w:t>rafické a demografické hľadisko</w:t>
            </w:r>
            <w:r w:rsidR="00256AFF">
              <w:t>.</w:t>
            </w:r>
          </w:p>
        </w:tc>
      </w:tr>
      <w:tr w:rsidR="00DE377F" w:rsidRPr="0016749B" w14:paraId="1C7CE00A" w14:textId="77777777" w:rsidTr="0009714B">
        <w:trPr>
          <w:trHeight w:val="330"/>
        </w:trPr>
        <w:tc>
          <w:tcPr>
            <w:tcW w:w="9322" w:type="dxa"/>
            <w:shd w:val="clear" w:color="auto" w:fill="E5DFEC" w:themeFill="accent4" w:themeFillTint="33"/>
            <w:hideMark/>
          </w:tcPr>
          <w:p w14:paraId="755D6F1F" w14:textId="77777777" w:rsidR="00DE377F" w:rsidRPr="0016749B" w:rsidRDefault="00AF6D51" w:rsidP="005E4E07">
            <w:pPr>
              <w:jc w:val="center"/>
              <w:rPr>
                <w:b/>
                <w:bCs/>
              </w:rPr>
            </w:pPr>
            <w:r w:rsidRPr="0016749B">
              <w:rPr>
                <w:b/>
                <w:bCs/>
              </w:rPr>
              <w:lastRenderedPageBreak/>
              <w:t>7.</w:t>
            </w:r>
            <w:r w:rsidR="00713950" w:rsidRPr="0016749B">
              <w:rPr>
                <w:b/>
                <w:bCs/>
              </w:rPr>
              <w:t>1</w:t>
            </w:r>
            <w:r w:rsidR="00DE377F" w:rsidRPr="0016749B">
              <w:rPr>
                <w:b/>
                <w:bCs/>
              </w:rPr>
              <w:t xml:space="preserve"> </w:t>
            </w:r>
            <w:r w:rsidR="009A3508" w:rsidRPr="0016749B">
              <w:rPr>
                <w:b/>
                <w:bCs/>
              </w:rPr>
              <w:t>Rámcový opis aktivít národného projektu</w:t>
            </w:r>
          </w:p>
        </w:tc>
      </w:tr>
      <w:tr w:rsidR="00DE377F" w:rsidRPr="0016749B" w14:paraId="0E9FD024" w14:textId="77777777" w:rsidTr="0009714B">
        <w:trPr>
          <w:trHeight w:val="330"/>
        </w:trPr>
        <w:tc>
          <w:tcPr>
            <w:tcW w:w="9322" w:type="dxa"/>
            <w:hideMark/>
          </w:tcPr>
          <w:p w14:paraId="6F373A41" w14:textId="77777777" w:rsidR="00D8123B" w:rsidRDefault="004E7180" w:rsidP="00FC7CD5">
            <w:pPr>
              <w:widowControl w:val="0"/>
              <w:adjustRightInd w:val="0"/>
              <w:textAlignment w:val="baseline"/>
            </w:pPr>
            <w:r>
              <w:t xml:space="preserve">Projekt </w:t>
            </w:r>
            <w:r w:rsidR="00E429E3">
              <w:t xml:space="preserve">bude realizovaný prostredníctvom jednej hlavnej aktivity </w:t>
            </w:r>
          </w:p>
          <w:p w14:paraId="301E7D16" w14:textId="77777777" w:rsidR="00D8123B" w:rsidRDefault="00D8123B" w:rsidP="00FC7CD5">
            <w:pPr>
              <w:widowControl w:val="0"/>
              <w:adjustRightInd w:val="0"/>
              <w:textAlignment w:val="baseline"/>
            </w:pPr>
          </w:p>
          <w:p w14:paraId="7DABA922" w14:textId="1CB18013" w:rsidR="004E7180" w:rsidRDefault="00D8123B" w:rsidP="00FC7CD5">
            <w:pPr>
              <w:widowControl w:val="0"/>
              <w:adjustRightInd w:val="0"/>
              <w:textAlignment w:val="baseline"/>
            </w:pPr>
            <w:r w:rsidRPr="00D8123B">
              <w:rPr>
                <w:b/>
              </w:rPr>
              <w:t>Hlavná aktivita 1:</w:t>
            </w:r>
            <w:r>
              <w:t xml:space="preserve"> </w:t>
            </w:r>
            <w:r w:rsidR="004E7180" w:rsidRPr="00653AA2">
              <w:rPr>
                <w:b/>
              </w:rPr>
              <w:t>Poradenstvo v</w:t>
            </w:r>
            <w:r w:rsidR="00653AA2">
              <w:rPr>
                <w:b/>
              </w:rPr>
              <w:t xml:space="preserve"> </w:t>
            </w:r>
            <w:r w:rsidR="004E7180" w:rsidRPr="00653AA2">
              <w:rPr>
                <w:b/>
              </w:rPr>
              <w:t>oblasti efektívneho využívania energie a</w:t>
            </w:r>
            <w:r w:rsidR="00E429E3" w:rsidRPr="00653AA2">
              <w:rPr>
                <w:b/>
              </w:rPr>
              <w:t> </w:t>
            </w:r>
            <w:r w:rsidR="004E7180" w:rsidRPr="00653AA2">
              <w:rPr>
                <w:b/>
              </w:rPr>
              <w:t>OZE</w:t>
            </w:r>
            <w:r w:rsidR="00E429E3">
              <w:t xml:space="preserve">, ktorá sa člení do viacerých </w:t>
            </w:r>
            <w:proofErr w:type="spellStart"/>
            <w:r w:rsidR="00E429E3">
              <w:t>podaktivít</w:t>
            </w:r>
            <w:proofErr w:type="spellEnd"/>
            <w:r w:rsidR="00E429E3">
              <w:t xml:space="preserve">. </w:t>
            </w:r>
            <w:r w:rsidR="004E7180">
              <w:t xml:space="preserve"> </w:t>
            </w:r>
          </w:p>
          <w:p w14:paraId="1B39FB8E" w14:textId="77777777" w:rsidR="00653AA2" w:rsidRDefault="00653AA2" w:rsidP="009C2A6F">
            <w:pPr>
              <w:widowControl w:val="0"/>
              <w:adjustRightInd w:val="0"/>
              <w:textAlignment w:val="baseline"/>
            </w:pPr>
          </w:p>
          <w:p w14:paraId="6FCF030A" w14:textId="5664CCB5" w:rsidR="007D422B" w:rsidRDefault="00D8123B" w:rsidP="00121CA1">
            <w:pPr>
              <w:widowControl w:val="0"/>
              <w:adjustRightInd w:val="0"/>
              <w:textAlignment w:val="baseline"/>
            </w:pPr>
            <w:r>
              <w:t xml:space="preserve">Dosahovanie </w:t>
            </w:r>
            <w:r w:rsidR="007D422B" w:rsidRPr="0016749B">
              <w:t>stanovených cieľov bud</w:t>
            </w:r>
            <w:r>
              <w:t>e</w:t>
            </w:r>
            <w:r w:rsidR="007D422B" w:rsidRPr="0016749B">
              <w:t xml:space="preserve"> riešené formou moderných a</w:t>
            </w:r>
            <w:r w:rsidR="00586760">
              <w:t xml:space="preserve"> </w:t>
            </w:r>
            <w:r w:rsidR="007D422B" w:rsidRPr="0016749B">
              <w:t xml:space="preserve">inovatívnych komunikačných a marketingových nástrojov na vysokej technickej a odbornej úrovni. </w:t>
            </w:r>
            <w:r w:rsidR="004E7180">
              <w:t>Hlavná aktivita a k</w:t>
            </w:r>
            <w:r w:rsidR="007D422B" w:rsidRPr="0016749B">
              <w:t xml:space="preserve">aždá </w:t>
            </w:r>
            <w:proofErr w:type="spellStart"/>
            <w:r w:rsidR="004E7180">
              <w:t>pod</w:t>
            </w:r>
            <w:r w:rsidR="007D422B" w:rsidRPr="0016749B">
              <w:t>aktivita</w:t>
            </w:r>
            <w:proofErr w:type="spellEnd"/>
            <w:r w:rsidR="007D422B" w:rsidRPr="0016749B">
              <w:t xml:space="preserve"> bude prispôsobená konkrétnym cieľovým skupinám, ich požiadavkám a špecifikám tak, aby bol dosiahnutý požadovaný efekt a výsledok. Poskytované </w:t>
            </w:r>
            <w:r w:rsidR="007D422B" w:rsidRPr="0016749B">
              <w:lastRenderedPageBreak/>
              <w:t>informácie budú pre danú cieľovú skupinu zostavené v takom formáte a rozsahu, aby boli pre ňu čo najprístupnejšie a najprijateľnejšie.</w:t>
            </w:r>
          </w:p>
          <w:p w14:paraId="0E7087D4" w14:textId="77777777" w:rsidR="00121CA1" w:rsidRPr="008545D4" w:rsidRDefault="00121CA1" w:rsidP="00121CA1">
            <w:pPr>
              <w:widowControl w:val="0"/>
              <w:adjustRightInd w:val="0"/>
              <w:textAlignment w:val="baseline"/>
              <w:rPr>
                <w:szCs w:val="24"/>
              </w:rPr>
            </w:pPr>
          </w:p>
          <w:p w14:paraId="73B48C6B" w14:textId="77777777" w:rsidR="007D422B" w:rsidRPr="00B21D2D" w:rsidRDefault="004E7180" w:rsidP="00545EA1">
            <w:pPr>
              <w:ind w:left="360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Podaktivita</w:t>
            </w:r>
            <w:proofErr w:type="spellEnd"/>
            <w:r>
              <w:rPr>
                <w:b/>
                <w:szCs w:val="24"/>
              </w:rPr>
              <w:t xml:space="preserve"> </w:t>
            </w:r>
            <w:r w:rsidR="0098138C">
              <w:rPr>
                <w:b/>
                <w:szCs w:val="24"/>
              </w:rPr>
              <w:t xml:space="preserve">1. </w:t>
            </w:r>
            <w:r w:rsidR="007D422B" w:rsidRPr="00545EA1">
              <w:rPr>
                <w:b/>
                <w:szCs w:val="24"/>
              </w:rPr>
              <w:t>Edičná činnosť, tlač a on-line marketing</w:t>
            </w:r>
          </w:p>
          <w:p w14:paraId="707BD363" w14:textId="77777777" w:rsidR="00B21D2D" w:rsidRDefault="00B21D2D" w:rsidP="00B21D2D">
            <w:pPr>
              <w:rPr>
                <w:b/>
                <w:szCs w:val="24"/>
              </w:rPr>
            </w:pPr>
          </w:p>
          <w:p w14:paraId="59697A2B" w14:textId="77777777" w:rsidR="00B21D2D" w:rsidRPr="00B21D2D" w:rsidRDefault="00B21D2D" w:rsidP="00B21D2D">
            <w:pPr>
              <w:rPr>
                <w:szCs w:val="24"/>
              </w:rPr>
            </w:pPr>
            <w:r w:rsidRPr="00B21D2D">
              <w:rPr>
                <w:szCs w:val="24"/>
              </w:rPr>
              <w:t xml:space="preserve">Predmetom tejto </w:t>
            </w:r>
            <w:proofErr w:type="spellStart"/>
            <w:r w:rsidR="00885AFE">
              <w:rPr>
                <w:szCs w:val="24"/>
              </w:rPr>
              <w:t>pod</w:t>
            </w:r>
            <w:r w:rsidRPr="00B21D2D">
              <w:rPr>
                <w:szCs w:val="24"/>
              </w:rPr>
              <w:t>aktivity</w:t>
            </w:r>
            <w:proofErr w:type="spellEnd"/>
            <w:r w:rsidRPr="00B21D2D">
              <w:rPr>
                <w:szCs w:val="24"/>
              </w:rPr>
              <w:t xml:space="preserve"> bude tlač periodických a neperiodických publikácií, tlač variabilných propagačných materiálov</w:t>
            </w:r>
            <w:r w:rsidR="005E4E07">
              <w:rPr>
                <w:szCs w:val="24"/>
              </w:rPr>
              <w:t xml:space="preserve"> </w:t>
            </w:r>
            <w:r w:rsidRPr="00B21D2D">
              <w:rPr>
                <w:szCs w:val="24"/>
              </w:rPr>
              <w:t xml:space="preserve">(letáky, plagáty, obaly, </w:t>
            </w:r>
            <w:proofErr w:type="spellStart"/>
            <w:r w:rsidRPr="00B21D2D">
              <w:rPr>
                <w:szCs w:val="24"/>
              </w:rPr>
              <w:t>foldre</w:t>
            </w:r>
            <w:proofErr w:type="spellEnd"/>
            <w:r w:rsidRPr="00B21D2D">
              <w:rPr>
                <w:szCs w:val="24"/>
              </w:rPr>
              <w:t xml:space="preserve">, </w:t>
            </w:r>
            <w:proofErr w:type="spellStart"/>
            <w:r w:rsidRPr="00B21D2D">
              <w:rPr>
                <w:szCs w:val="24"/>
              </w:rPr>
              <w:t>billboardy</w:t>
            </w:r>
            <w:proofErr w:type="spellEnd"/>
            <w:r w:rsidRPr="00B21D2D">
              <w:rPr>
                <w:szCs w:val="24"/>
              </w:rPr>
              <w:t xml:space="preserve">, </w:t>
            </w:r>
            <w:proofErr w:type="spellStart"/>
            <w:r w:rsidRPr="00B21D2D">
              <w:rPr>
                <w:szCs w:val="24"/>
              </w:rPr>
              <w:t>infografiky</w:t>
            </w:r>
            <w:proofErr w:type="spellEnd"/>
            <w:r w:rsidRPr="00B21D2D">
              <w:rPr>
                <w:szCs w:val="24"/>
              </w:rPr>
              <w:t xml:space="preserve"> a pod.), iné polygrafi</w:t>
            </w:r>
            <w:r>
              <w:rPr>
                <w:szCs w:val="24"/>
              </w:rPr>
              <w:t>cké služby</w:t>
            </w:r>
            <w:r w:rsidR="00CC3200">
              <w:rPr>
                <w:szCs w:val="24"/>
              </w:rPr>
              <w:t xml:space="preserve"> s tým súvisiace</w:t>
            </w:r>
            <w:r>
              <w:rPr>
                <w:szCs w:val="24"/>
              </w:rPr>
              <w:t xml:space="preserve"> a veľkoplošná tlač. </w:t>
            </w:r>
            <w:r w:rsidRPr="00B21D2D">
              <w:rPr>
                <w:szCs w:val="24"/>
              </w:rPr>
              <w:t xml:space="preserve">Tlač a s ňou súvisiace sprievodné služby sú určené na informovanie všetkých cieľových skupín v oblasti </w:t>
            </w:r>
            <w:proofErr w:type="spellStart"/>
            <w:r w:rsidRPr="00B21D2D">
              <w:rPr>
                <w:szCs w:val="24"/>
              </w:rPr>
              <w:t>nízkouhlíkových</w:t>
            </w:r>
            <w:proofErr w:type="spellEnd"/>
            <w:r w:rsidRPr="00B21D2D">
              <w:rPr>
                <w:szCs w:val="24"/>
              </w:rPr>
              <w:t xml:space="preserve"> opatrení, najmä energetickej efektívnosti a udržateľného využívania OZE. Jednotlivé druhy tlačovín budú voľne dostupné pre všetky cieľové skupiny v každom poradenskom centre, na pobočkách a na centrále SIEA, ako aj na každom podujatí, ktoré bude v rámci projektu organizované, či iným spôsobom podporené.</w:t>
            </w:r>
            <w:r>
              <w:rPr>
                <w:szCs w:val="24"/>
              </w:rPr>
              <w:t xml:space="preserve"> Súčasťou tejto aktivity bude aj </w:t>
            </w:r>
            <w:r w:rsidRPr="00B21D2D">
              <w:rPr>
                <w:szCs w:val="24"/>
              </w:rPr>
              <w:t>vytvorenie cielenej komuni</w:t>
            </w:r>
            <w:r>
              <w:rPr>
                <w:szCs w:val="24"/>
              </w:rPr>
              <w:t>kácie prostredníctvom internetu a</w:t>
            </w:r>
            <w:r w:rsidRPr="00B21D2D">
              <w:rPr>
                <w:szCs w:val="24"/>
              </w:rPr>
              <w:t xml:space="preserve"> zabezpečenie priebežnej aktualizácie informácií na všetkých dostupných úrovniach, ktoré budú v rámci projektu spravované</w:t>
            </w:r>
            <w:r>
              <w:rPr>
                <w:szCs w:val="24"/>
              </w:rPr>
              <w:t xml:space="preserve">. </w:t>
            </w:r>
            <w:r w:rsidR="00CC3200">
              <w:rPr>
                <w:szCs w:val="24"/>
              </w:rPr>
              <w:t>Budú vytvárané s</w:t>
            </w:r>
            <w:r w:rsidRPr="00B21D2D">
              <w:rPr>
                <w:szCs w:val="24"/>
              </w:rPr>
              <w:t>of</w:t>
            </w:r>
            <w:r w:rsidR="00CC3200">
              <w:rPr>
                <w:szCs w:val="24"/>
              </w:rPr>
              <w:t>tvérové a mobilné aplikácie</w:t>
            </w:r>
            <w:r w:rsidRPr="00B21D2D">
              <w:rPr>
                <w:szCs w:val="24"/>
              </w:rPr>
              <w:t xml:space="preserve"> určené napríklad na rozličné výpočty spôsobov úspo</w:t>
            </w:r>
            <w:r w:rsidR="00CC3200">
              <w:rPr>
                <w:szCs w:val="24"/>
              </w:rPr>
              <w:t>r energie, sledovanie spotreby, či</w:t>
            </w:r>
            <w:r w:rsidRPr="00B21D2D">
              <w:rPr>
                <w:szCs w:val="24"/>
              </w:rPr>
              <w:t xml:space="preserve"> prínosov využívania obnoviteľných zdrojov energie</w:t>
            </w:r>
            <w:r w:rsidR="00CC3200">
              <w:rPr>
                <w:szCs w:val="24"/>
              </w:rPr>
              <w:t xml:space="preserve">, ktoré by mali pomôcť k udržateľnému rozvoju </w:t>
            </w:r>
            <w:proofErr w:type="spellStart"/>
            <w:r w:rsidR="00CC3200">
              <w:rPr>
                <w:szCs w:val="24"/>
              </w:rPr>
              <w:t>nízkouhlíkového</w:t>
            </w:r>
            <w:proofErr w:type="spellEnd"/>
            <w:r w:rsidR="00CC3200">
              <w:rPr>
                <w:szCs w:val="24"/>
              </w:rPr>
              <w:t xml:space="preserve"> hospodárstva</w:t>
            </w:r>
            <w:r>
              <w:rPr>
                <w:szCs w:val="24"/>
              </w:rPr>
              <w:t>.</w:t>
            </w:r>
          </w:p>
          <w:p w14:paraId="3E80B18B" w14:textId="77777777" w:rsidR="00B21D2D" w:rsidRPr="008545D4" w:rsidRDefault="00B21D2D" w:rsidP="00B21D2D">
            <w:pPr>
              <w:rPr>
                <w:b/>
                <w:szCs w:val="24"/>
              </w:rPr>
            </w:pPr>
          </w:p>
          <w:p w14:paraId="6A27E6E1" w14:textId="77777777" w:rsidR="007D422B" w:rsidRPr="00B21D2D" w:rsidRDefault="004E7180" w:rsidP="00545EA1">
            <w:pPr>
              <w:ind w:left="360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Podaktivita</w:t>
            </w:r>
            <w:proofErr w:type="spellEnd"/>
            <w:r>
              <w:rPr>
                <w:b/>
                <w:szCs w:val="24"/>
              </w:rPr>
              <w:t xml:space="preserve"> </w:t>
            </w:r>
            <w:r w:rsidR="0098138C">
              <w:rPr>
                <w:b/>
                <w:szCs w:val="24"/>
              </w:rPr>
              <w:t xml:space="preserve">2. </w:t>
            </w:r>
            <w:r w:rsidR="007D422B" w:rsidRPr="00B57008">
              <w:rPr>
                <w:b/>
                <w:szCs w:val="24"/>
              </w:rPr>
              <w:t>Poradenstvo v externom prostredí, komunikácia a</w:t>
            </w:r>
            <w:r w:rsidR="00B21D2D" w:rsidRPr="00B57008">
              <w:rPr>
                <w:b/>
                <w:szCs w:val="24"/>
              </w:rPr>
              <w:t> </w:t>
            </w:r>
            <w:r w:rsidR="007D422B" w:rsidRPr="00B57008">
              <w:rPr>
                <w:b/>
                <w:szCs w:val="24"/>
              </w:rPr>
              <w:t>propagácia</w:t>
            </w:r>
          </w:p>
          <w:p w14:paraId="17D12739" w14:textId="77777777" w:rsidR="00B21D2D" w:rsidRDefault="00B21D2D" w:rsidP="00B21D2D">
            <w:pPr>
              <w:rPr>
                <w:b/>
                <w:szCs w:val="24"/>
              </w:rPr>
            </w:pPr>
          </w:p>
          <w:p w14:paraId="4DDA753F" w14:textId="77777777" w:rsidR="005F180E" w:rsidRDefault="003D14D1" w:rsidP="00A037DD">
            <w:pPr>
              <w:rPr>
                <w:rFonts w:eastAsia="Times New Roman" w:cs="Times New Roman"/>
                <w:szCs w:val="24"/>
                <w:lang w:eastAsia="sk-SK"/>
              </w:rPr>
            </w:pPr>
            <w:r w:rsidRPr="003D14D1">
              <w:rPr>
                <w:rFonts w:eastAsia="Times New Roman" w:cs="Times New Roman"/>
                <w:szCs w:val="24"/>
                <w:lang w:eastAsia="sk-SK"/>
              </w:rPr>
              <w:t xml:space="preserve">Predmetom tejto </w:t>
            </w:r>
            <w:proofErr w:type="spellStart"/>
            <w:r w:rsidR="00885AFE">
              <w:rPr>
                <w:rFonts w:eastAsia="Times New Roman" w:cs="Times New Roman"/>
                <w:szCs w:val="24"/>
                <w:lang w:eastAsia="sk-SK"/>
              </w:rPr>
              <w:t>pod</w:t>
            </w:r>
            <w:r w:rsidRPr="003D14D1">
              <w:rPr>
                <w:rFonts w:eastAsia="Times New Roman" w:cs="Times New Roman"/>
                <w:szCs w:val="24"/>
                <w:lang w:eastAsia="sk-SK"/>
              </w:rPr>
              <w:t>aktivity</w:t>
            </w:r>
            <w:proofErr w:type="spellEnd"/>
            <w:r w:rsidRPr="003D14D1">
              <w:rPr>
                <w:rFonts w:eastAsia="Times New Roman" w:cs="Times New Roman"/>
                <w:szCs w:val="24"/>
                <w:lang w:eastAsia="sk-SK"/>
              </w:rPr>
              <w:t xml:space="preserve"> projektu je aplikovanie a využitie rôznych foriem marketingovej komunikácie na čo najefektívnejšie dosiahnutie stanovených cieľov. Patria sem aj aktivity, vyžadujúce si B2B a B2C</w:t>
            </w:r>
            <w:r w:rsidRPr="003D14D1">
              <w:rPr>
                <w:rFonts w:eastAsia="Times New Roman" w:cs="Times New Roman"/>
                <w:szCs w:val="24"/>
                <w:vertAlign w:val="superscript"/>
                <w:lang w:eastAsia="sk-SK"/>
              </w:rPr>
              <w:footnoteReference w:id="1"/>
            </w:r>
            <w:r w:rsidRPr="003D14D1">
              <w:rPr>
                <w:rFonts w:eastAsia="Times New Roman" w:cs="Times New Roman"/>
                <w:szCs w:val="24"/>
                <w:lang w:eastAsia="sk-SK"/>
              </w:rPr>
              <w:t xml:space="preserve"> komunikáciu.</w:t>
            </w:r>
            <w:r>
              <w:rPr>
                <w:rFonts w:eastAsia="Times New Roman" w:cs="Times New Roman"/>
                <w:szCs w:val="24"/>
                <w:lang w:eastAsia="sk-SK"/>
              </w:rPr>
              <w:t xml:space="preserve"> </w:t>
            </w:r>
            <w:r w:rsidRPr="003D14D1">
              <w:rPr>
                <w:rFonts w:eastAsia="Times New Roman" w:cs="Times New Roman"/>
                <w:szCs w:val="24"/>
                <w:lang w:eastAsia="sk-SK"/>
              </w:rPr>
              <w:t>Zaraďuje sa sem napríklad organizačné a</w:t>
            </w:r>
            <w:r>
              <w:rPr>
                <w:rFonts w:eastAsia="Times New Roman" w:cs="Times New Roman"/>
                <w:szCs w:val="24"/>
                <w:lang w:eastAsia="sk-SK"/>
              </w:rPr>
              <w:t> </w:t>
            </w:r>
            <w:r w:rsidRPr="003D14D1">
              <w:rPr>
                <w:rFonts w:eastAsia="Times New Roman" w:cs="Times New Roman"/>
                <w:szCs w:val="24"/>
                <w:lang w:eastAsia="sk-SK"/>
              </w:rPr>
              <w:t xml:space="preserve">technické zabezpečenie účasti na veľtrhoch a výstavách, prezentáciách a prezentačných aktivitách, informačno-prezentačné aktivity, výjazdy do miest a obcí, </w:t>
            </w:r>
            <w:proofErr w:type="spellStart"/>
            <w:r w:rsidRPr="003D14D1">
              <w:rPr>
                <w:rFonts w:eastAsia="Times New Roman" w:cs="Times New Roman"/>
                <w:szCs w:val="24"/>
                <w:lang w:eastAsia="sk-SK"/>
              </w:rPr>
              <w:t>road-show</w:t>
            </w:r>
            <w:proofErr w:type="spellEnd"/>
            <w:r w:rsidRPr="003D14D1">
              <w:rPr>
                <w:rFonts w:eastAsia="Times New Roman" w:cs="Times New Roman"/>
                <w:szCs w:val="24"/>
                <w:lang w:eastAsia="sk-SK"/>
              </w:rPr>
              <w:t>, účasť na kongresoch, konferen</w:t>
            </w:r>
            <w:r w:rsidR="004300BA">
              <w:rPr>
                <w:rFonts w:eastAsia="Times New Roman" w:cs="Times New Roman"/>
                <w:szCs w:val="24"/>
                <w:lang w:eastAsia="sk-SK"/>
              </w:rPr>
              <w:t>ciách, seminároch, </w:t>
            </w:r>
            <w:proofErr w:type="spellStart"/>
            <w:r w:rsidR="004300BA">
              <w:rPr>
                <w:rFonts w:eastAsia="Times New Roman" w:cs="Times New Roman"/>
                <w:szCs w:val="24"/>
                <w:lang w:eastAsia="sk-SK"/>
              </w:rPr>
              <w:t>workshopoch</w:t>
            </w:r>
            <w:proofErr w:type="spellEnd"/>
            <w:r w:rsidR="004300BA">
              <w:rPr>
                <w:rFonts w:eastAsia="Times New Roman" w:cs="Times New Roman"/>
                <w:szCs w:val="24"/>
                <w:lang w:eastAsia="sk-SK"/>
              </w:rPr>
              <w:t>,</w:t>
            </w:r>
            <w:r w:rsidRPr="003D14D1">
              <w:rPr>
                <w:rFonts w:eastAsia="Times New Roman" w:cs="Times New Roman"/>
                <w:szCs w:val="24"/>
                <w:lang w:eastAsia="sk-SK"/>
              </w:rPr>
              <w:t> exkurziách</w:t>
            </w:r>
            <w:r w:rsidR="004300BA">
              <w:rPr>
                <w:rFonts w:eastAsia="Times New Roman" w:cs="Times New Roman"/>
                <w:szCs w:val="24"/>
                <w:lang w:eastAsia="sk-SK"/>
              </w:rPr>
              <w:t xml:space="preserve"> a podobne</w:t>
            </w:r>
            <w:r w:rsidRPr="003D14D1">
              <w:rPr>
                <w:rFonts w:eastAsia="Times New Roman" w:cs="Times New Roman"/>
                <w:szCs w:val="24"/>
                <w:lang w:eastAsia="sk-SK"/>
              </w:rPr>
              <w:t>. Rovnako sem zaraďujeme organizáciu tlačových konferencií, vrátane poskytovania komplexných výstupov</w:t>
            </w:r>
            <w:r w:rsidR="004300BA">
              <w:rPr>
                <w:rFonts w:eastAsia="Times New Roman" w:cs="Times New Roman"/>
                <w:szCs w:val="24"/>
                <w:lang w:eastAsia="sk-SK"/>
              </w:rPr>
              <w:t>, inzercie</w:t>
            </w:r>
            <w:r>
              <w:rPr>
                <w:rFonts w:eastAsia="Times New Roman" w:cs="Times New Roman"/>
                <w:szCs w:val="24"/>
                <w:lang w:eastAsia="sk-SK"/>
              </w:rPr>
              <w:t xml:space="preserve"> </w:t>
            </w:r>
            <w:r w:rsidR="007B7EFE">
              <w:rPr>
                <w:rFonts w:eastAsia="Times New Roman" w:cs="Times New Roman"/>
                <w:szCs w:val="24"/>
                <w:lang w:eastAsia="sk-SK"/>
              </w:rPr>
              <w:t xml:space="preserve">          </w:t>
            </w:r>
            <w:r>
              <w:rPr>
                <w:rFonts w:eastAsia="Times New Roman" w:cs="Times New Roman"/>
                <w:szCs w:val="24"/>
                <w:lang w:eastAsia="sk-SK"/>
              </w:rPr>
              <w:t>a</w:t>
            </w:r>
            <w:r w:rsidRPr="003D14D1">
              <w:rPr>
                <w:rFonts w:eastAsia="Times New Roman" w:cs="Times New Roman"/>
                <w:szCs w:val="24"/>
                <w:lang w:eastAsia="sk-SK"/>
              </w:rPr>
              <w:t xml:space="preserve"> spoluprácu s</w:t>
            </w:r>
            <w:r w:rsidR="004300BA">
              <w:rPr>
                <w:rFonts w:eastAsia="Times New Roman" w:cs="Times New Roman"/>
                <w:szCs w:val="24"/>
                <w:lang w:eastAsia="sk-SK"/>
              </w:rPr>
              <w:t> </w:t>
            </w:r>
            <w:r w:rsidRPr="003D14D1">
              <w:rPr>
                <w:rFonts w:eastAsia="Times New Roman" w:cs="Times New Roman"/>
                <w:szCs w:val="24"/>
                <w:lang w:eastAsia="sk-SK"/>
              </w:rPr>
              <w:t>médiami</w:t>
            </w:r>
            <w:r w:rsidR="004300BA">
              <w:rPr>
                <w:rFonts w:eastAsia="Times New Roman" w:cs="Times New Roman"/>
                <w:szCs w:val="24"/>
                <w:lang w:eastAsia="sk-SK"/>
              </w:rPr>
              <w:t xml:space="preserve"> s využitím tzv. </w:t>
            </w:r>
            <w:proofErr w:type="spellStart"/>
            <w:r w:rsidR="004300BA">
              <w:rPr>
                <w:rFonts w:eastAsia="Times New Roman" w:cs="Times New Roman"/>
                <w:szCs w:val="24"/>
                <w:lang w:eastAsia="sk-SK"/>
              </w:rPr>
              <w:t>nadlinkovej</w:t>
            </w:r>
            <w:proofErr w:type="spellEnd"/>
            <w:r w:rsidR="004300BA">
              <w:rPr>
                <w:rFonts w:eastAsia="Times New Roman" w:cs="Times New Roman"/>
                <w:szCs w:val="24"/>
                <w:lang w:eastAsia="sk-SK"/>
              </w:rPr>
              <w:t xml:space="preserve"> komunikácie</w:t>
            </w:r>
            <w:r w:rsidRPr="003D14D1">
              <w:rPr>
                <w:rFonts w:eastAsia="Times New Roman" w:cs="Times New Roman"/>
                <w:szCs w:val="24"/>
                <w:lang w:eastAsia="sk-SK"/>
              </w:rPr>
              <w:t>. Hlavnou výhodou tejto formy komunikácie je cielené odovzdávanie informác</w:t>
            </w:r>
            <w:r w:rsidR="004300BA">
              <w:rPr>
                <w:rFonts w:eastAsia="Times New Roman" w:cs="Times New Roman"/>
                <w:szCs w:val="24"/>
                <w:lang w:eastAsia="sk-SK"/>
              </w:rPr>
              <w:t>ií väčšiemu počtu príslušníkov cieľových skupín</w:t>
            </w:r>
            <w:r w:rsidR="00E97C2B">
              <w:rPr>
                <w:rFonts w:eastAsia="Times New Roman" w:cs="Times New Roman"/>
                <w:szCs w:val="24"/>
                <w:lang w:eastAsia="sk-SK"/>
              </w:rPr>
              <w:t>.</w:t>
            </w:r>
          </w:p>
          <w:p w14:paraId="50D0CCED" w14:textId="77777777" w:rsidR="005F180E" w:rsidRDefault="005F180E" w:rsidP="000F3F23">
            <w:pPr>
              <w:ind w:left="360"/>
              <w:rPr>
                <w:b/>
                <w:szCs w:val="24"/>
              </w:rPr>
            </w:pPr>
          </w:p>
          <w:p w14:paraId="75526E2C" w14:textId="77777777" w:rsidR="007D422B" w:rsidRPr="00403194" w:rsidRDefault="004E7180" w:rsidP="000F3F23">
            <w:pPr>
              <w:ind w:left="360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Podaktivita</w:t>
            </w:r>
            <w:proofErr w:type="spellEnd"/>
            <w:r>
              <w:rPr>
                <w:b/>
                <w:szCs w:val="24"/>
              </w:rPr>
              <w:t xml:space="preserve"> </w:t>
            </w:r>
            <w:r w:rsidR="0098138C">
              <w:rPr>
                <w:b/>
                <w:szCs w:val="24"/>
              </w:rPr>
              <w:t xml:space="preserve">3. </w:t>
            </w:r>
            <w:r w:rsidR="007D422B" w:rsidRPr="000F3F23">
              <w:rPr>
                <w:b/>
                <w:szCs w:val="24"/>
              </w:rPr>
              <w:t>Poradenstvo v internom prostredí</w:t>
            </w:r>
          </w:p>
          <w:p w14:paraId="76597229" w14:textId="77777777" w:rsidR="003D14D1" w:rsidRDefault="003D14D1" w:rsidP="003D14D1">
            <w:pPr>
              <w:rPr>
                <w:b/>
                <w:szCs w:val="24"/>
              </w:rPr>
            </w:pPr>
          </w:p>
          <w:p w14:paraId="607D898D" w14:textId="0E54C7DA" w:rsidR="003D14D1" w:rsidRDefault="00276143" w:rsidP="003D14D1">
            <w:pPr>
              <w:rPr>
                <w:rFonts w:eastAsia="Times New Roman" w:cs="Times New Roman"/>
                <w:lang w:eastAsia="sk-SK"/>
              </w:rPr>
            </w:pPr>
            <w:r w:rsidRPr="00276143">
              <w:rPr>
                <w:rFonts w:eastAsia="Times New Roman" w:cs="Times New Roman"/>
                <w:szCs w:val="24"/>
                <w:lang w:eastAsia="sk-SK"/>
              </w:rPr>
              <w:t xml:space="preserve">V rámci tejto </w:t>
            </w:r>
            <w:proofErr w:type="spellStart"/>
            <w:r w:rsidR="00885AFE">
              <w:rPr>
                <w:rFonts w:eastAsia="Times New Roman" w:cs="Times New Roman"/>
                <w:szCs w:val="24"/>
                <w:lang w:eastAsia="sk-SK"/>
              </w:rPr>
              <w:t>pod</w:t>
            </w:r>
            <w:r w:rsidRPr="00276143">
              <w:rPr>
                <w:rFonts w:eastAsia="Times New Roman" w:cs="Times New Roman"/>
                <w:szCs w:val="24"/>
                <w:lang w:eastAsia="sk-SK"/>
              </w:rPr>
              <w:t>aktivity</w:t>
            </w:r>
            <w:proofErr w:type="spellEnd"/>
            <w:r w:rsidRPr="00276143">
              <w:rPr>
                <w:rFonts w:eastAsia="Times New Roman" w:cs="Times New Roman"/>
                <w:szCs w:val="24"/>
                <w:lang w:eastAsia="sk-SK"/>
              </w:rPr>
              <w:t xml:space="preserve"> bude rozšírená a posilnená sieť poradenských centier. Nové vzniknú </w:t>
            </w:r>
            <w:r w:rsidR="007B7EFE">
              <w:rPr>
                <w:rFonts w:eastAsia="Times New Roman" w:cs="Times New Roman"/>
                <w:szCs w:val="24"/>
                <w:lang w:eastAsia="sk-SK"/>
              </w:rPr>
              <w:t xml:space="preserve">            </w:t>
            </w:r>
            <w:r w:rsidRPr="00276143">
              <w:rPr>
                <w:rFonts w:eastAsia="Times New Roman" w:cs="Times New Roman"/>
                <w:szCs w:val="24"/>
                <w:lang w:eastAsia="sk-SK"/>
              </w:rPr>
              <w:t>na strategicky dôležitých mi</w:t>
            </w:r>
            <w:r w:rsidR="00390041">
              <w:rPr>
                <w:rFonts w:eastAsia="Times New Roman" w:cs="Times New Roman"/>
                <w:szCs w:val="24"/>
                <w:lang w:eastAsia="sk-SK"/>
              </w:rPr>
              <w:t>estach, ktoré určia potreby cieľových skupín</w:t>
            </w:r>
            <w:r w:rsidRPr="00276143">
              <w:rPr>
                <w:rFonts w:eastAsia="Times New Roman" w:cs="Times New Roman"/>
                <w:szCs w:val="24"/>
                <w:lang w:eastAsia="sk-SK"/>
              </w:rPr>
              <w:t xml:space="preserve">. Existujúce poradenské centrá a klub detí budú personálne posilnené tak, aby bolo možné súbežne zabezpečiť bezplatné odborné poradenstvo v externom a internom prostredí, to znamená na viacerých miestach naraz. Zároveň je nevyhnutné modernizovať tieto centrá </w:t>
            </w:r>
            <w:r w:rsidRPr="00276143">
              <w:rPr>
                <w:rFonts w:eastAsia="Times New Roman" w:cs="Times New Roman"/>
                <w:lang w:eastAsia="sk-SK"/>
              </w:rPr>
              <w:t>najnovšími technickými pomôckami a vybavením, čím sa docieli splnenie kritéria moderného a účelného centra prvého kontaktu. Tým si dokážu zabezpečiť významné postavenie na trhu v danej oblasti. Ak to budú špecifiká jednotlivých miest umožňovať, bude jedným z cieľov projektu presunutie poradenských centier bližšie k ľuďom, čím bude zabezpečená lepšia dostupnosť a možnosť využitia osobných konzultácií v súlade s atribútmi miesta prvého kontaktu.</w:t>
            </w:r>
            <w:r>
              <w:rPr>
                <w:rFonts w:eastAsia="Times New Roman" w:cs="Times New Roman"/>
                <w:lang w:eastAsia="sk-SK"/>
              </w:rPr>
              <w:t xml:space="preserve"> </w:t>
            </w:r>
            <w:r w:rsidRPr="00276143">
              <w:rPr>
                <w:rFonts w:eastAsia="Times New Roman" w:cs="Times New Roman"/>
                <w:lang w:eastAsia="sk-SK"/>
              </w:rPr>
              <w:t xml:space="preserve">Z dôvodu zabezpečenia maximálnej odbornosti, aktuálnosti a profesionality, bude v rámci </w:t>
            </w:r>
            <w:r w:rsidRPr="00276143">
              <w:rPr>
                <w:rFonts w:eastAsia="Times New Roman" w:cs="Times New Roman"/>
                <w:lang w:eastAsia="sk-SK"/>
              </w:rPr>
              <w:lastRenderedPageBreak/>
              <w:t xml:space="preserve">tejto aktivity zabezpečované zamestnancom </w:t>
            </w:r>
            <w:r w:rsidRPr="00276143">
              <w:rPr>
                <w:rFonts w:eastAsia="Times New Roman" w:cs="Times New Roman"/>
                <w:szCs w:val="24"/>
                <w:lang w:eastAsia="sk-SK"/>
              </w:rPr>
              <w:t>podieľajúcim sa na realizácii a implementácii projektu</w:t>
            </w:r>
            <w:r w:rsidRPr="00276143">
              <w:rPr>
                <w:rFonts w:eastAsia="Times New Roman" w:cs="Times New Roman"/>
                <w:lang w:eastAsia="sk-SK"/>
              </w:rPr>
              <w:t xml:space="preserve"> nepretržité vzdelávanie a výmena najlepších skúseností a praktík, či už doma, ako aj v</w:t>
            </w:r>
            <w:r w:rsidR="00D8123B">
              <w:rPr>
                <w:rFonts w:eastAsia="Times New Roman" w:cs="Times New Roman"/>
                <w:lang w:eastAsia="sk-SK"/>
              </w:rPr>
              <w:t> </w:t>
            </w:r>
            <w:r w:rsidRPr="00276143">
              <w:rPr>
                <w:rFonts w:eastAsia="Times New Roman" w:cs="Times New Roman"/>
                <w:lang w:eastAsia="sk-SK"/>
              </w:rPr>
              <w:t>zahraničí</w:t>
            </w:r>
            <w:r w:rsidR="00D8123B">
              <w:rPr>
                <w:rFonts w:eastAsia="Times New Roman" w:cs="Times New Roman"/>
                <w:lang w:eastAsia="sk-SK"/>
              </w:rPr>
              <w:t xml:space="preserve"> najmä prostredníctvom účastí na odborných podujatiach, aktivitách rôznych medzinárodných organizácií a pod</w:t>
            </w:r>
            <w:r w:rsidRPr="00276143">
              <w:rPr>
                <w:rFonts w:eastAsia="Times New Roman" w:cs="Times New Roman"/>
                <w:lang w:eastAsia="sk-SK"/>
              </w:rPr>
              <w:t>.</w:t>
            </w:r>
          </w:p>
          <w:p w14:paraId="0EA0E320" w14:textId="77777777" w:rsidR="00D8123B" w:rsidRPr="00A8596F" w:rsidRDefault="00D8123B" w:rsidP="003D14D1">
            <w:pPr>
              <w:rPr>
                <w:rFonts w:eastAsia="Times New Roman" w:cs="Times New Roman"/>
                <w:szCs w:val="24"/>
                <w:lang w:eastAsia="sk-SK"/>
              </w:rPr>
            </w:pPr>
          </w:p>
          <w:p w14:paraId="2B5EA077" w14:textId="77777777" w:rsidR="004B1EAD" w:rsidRPr="00C962CE" w:rsidRDefault="004E7180" w:rsidP="000F3F23">
            <w:pPr>
              <w:ind w:left="360"/>
              <w:rPr>
                <w:b/>
                <w:sz w:val="22"/>
              </w:rPr>
            </w:pPr>
            <w:proofErr w:type="spellStart"/>
            <w:r>
              <w:rPr>
                <w:b/>
                <w:szCs w:val="24"/>
              </w:rPr>
              <w:t>Podaktivita</w:t>
            </w:r>
            <w:proofErr w:type="spellEnd"/>
            <w:r>
              <w:rPr>
                <w:b/>
                <w:szCs w:val="24"/>
              </w:rPr>
              <w:t xml:space="preserve"> </w:t>
            </w:r>
            <w:r w:rsidR="002324C8">
              <w:rPr>
                <w:b/>
                <w:szCs w:val="24"/>
              </w:rPr>
              <w:t>4</w:t>
            </w:r>
            <w:r w:rsidR="0098138C">
              <w:rPr>
                <w:b/>
                <w:szCs w:val="24"/>
              </w:rPr>
              <w:t xml:space="preserve">. </w:t>
            </w:r>
            <w:r w:rsidR="007D422B" w:rsidRPr="000F3F23">
              <w:rPr>
                <w:b/>
                <w:szCs w:val="24"/>
              </w:rPr>
              <w:t xml:space="preserve">Analýzy, prieskumy, </w:t>
            </w:r>
            <w:r w:rsidR="007062C5" w:rsidRPr="000F3F23">
              <w:rPr>
                <w:b/>
                <w:szCs w:val="24"/>
              </w:rPr>
              <w:t>stratégie</w:t>
            </w:r>
          </w:p>
          <w:p w14:paraId="683EC9F9" w14:textId="77777777" w:rsidR="00C962CE" w:rsidRDefault="00C962CE" w:rsidP="00C962CE">
            <w:pPr>
              <w:rPr>
                <w:b/>
                <w:szCs w:val="24"/>
              </w:rPr>
            </w:pPr>
          </w:p>
          <w:p w14:paraId="4BD74001" w14:textId="33956C87" w:rsidR="00C962CE" w:rsidRDefault="00C962CE" w:rsidP="000C7981">
            <w:pPr>
              <w:rPr>
                <w:rFonts w:eastAsia="Times New Roman" w:cs="Times New Roman"/>
                <w:szCs w:val="24"/>
                <w:lang w:eastAsia="sk-SK"/>
              </w:rPr>
            </w:pPr>
            <w:r w:rsidRPr="00C962CE">
              <w:rPr>
                <w:rFonts w:eastAsia="Times New Roman" w:cs="Times New Roman"/>
                <w:szCs w:val="24"/>
                <w:lang w:eastAsia="sk-SK"/>
              </w:rPr>
              <w:t xml:space="preserve">Cieľom </w:t>
            </w:r>
            <w:r w:rsidR="00670047">
              <w:rPr>
                <w:rFonts w:eastAsia="Times New Roman" w:cs="Times New Roman"/>
                <w:szCs w:val="24"/>
                <w:lang w:eastAsia="sk-SK"/>
              </w:rPr>
              <w:t xml:space="preserve">tejto </w:t>
            </w:r>
            <w:proofErr w:type="spellStart"/>
            <w:r w:rsidR="00885AFE">
              <w:rPr>
                <w:rFonts w:eastAsia="Times New Roman" w:cs="Times New Roman"/>
                <w:szCs w:val="24"/>
                <w:lang w:eastAsia="sk-SK"/>
              </w:rPr>
              <w:t>pod</w:t>
            </w:r>
            <w:r w:rsidR="00670047">
              <w:rPr>
                <w:rFonts w:eastAsia="Times New Roman" w:cs="Times New Roman"/>
                <w:szCs w:val="24"/>
                <w:lang w:eastAsia="sk-SK"/>
              </w:rPr>
              <w:t>aktivity</w:t>
            </w:r>
            <w:proofErr w:type="spellEnd"/>
            <w:r w:rsidR="00670047">
              <w:rPr>
                <w:rFonts w:eastAsia="Times New Roman" w:cs="Times New Roman"/>
                <w:szCs w:val="24"/>
                <w:lang w:eastAsia="sk-SK"/>
              </w:rPr>
              <w:t xml:space="preserve"> je</w:t>
            </w:r>
            <w:r w:rsidRPr="00C962CE">
              <w:rPr>
                <w:rFonts w:eastAsia="Times New Roman" w:cs="Times New Roman"/>
                <w:szCs w:val="24"/>
                <w:lang w:eastAsia="sk-SK"/>
              </w:rPr>
              <w:t xml:space="preserve"> analýza získaných informácií </w:t>
            </w:r>
            <w:r w:rsidR="00D8123B">
              <w:rPr>
                <w:rFonts w:eastAsia="Times New Roman" w:cs="Times New Roman"/>
                <w:szCs w:val="24"/>
                <w:lang w:eastAsia="sk-SK"/>
              </w:rPr>
              <w:t xml:space="preserve">a spracovávanie </w:t>
            </w:r>
            <w:r w:rsidRPr="00C962CE">
              <w:rPr>
                <w:rFonts w:eastAsia="Times New Roman" w:cs="Times New Roman"/>
                <w:szCs w:val="24"/>
                <w:lang w:eastAsia="sk-SK"/>
              </w:rPr>
              <w:t>do formy analytických štúdií a v nadväznosti na komunikačnú stratégiu projektu tvorba čiastkových marketingových, komunikačných a aplikačných štúdií, analýz, prieskumov a upresňovanie stratégie</w:t>
            </w:r>
            <w:r w:rsidR="00670047">
              <w:rPr>
                <w:rFonts w:eastAsia="Times New Roman" w:cs="Times New Roman"/>
                <w:szCs w:val="24"/>
                <w:lang w:eastAsia="sk-SK"/>
              </w:rPr>
              <w:t xml:space="preserve"> na jednotlivé roky 2015 až 2023</w:t>
            </w:r>
            <w:r w:rsidRPr="00C962CE">
              <w:rPr>
                <w:rFonts w:eastAsia="Times New Roman" w:cs="Times New Roman"/>
                <w:szCs w:val="24"/>
                <w:lang w:eastAsia="sk-SK"/>
              </w:rPr>
              <w:t xml:space="preserve">. Dopad aktivít, ktorých cieľom je zvýšenie povedomia a znalostí </w:t>
            </w:r>
            <w:r w:rsidR="00390041">
              <w:rPr>
                <w:rFonts w:eastAsia="Times New Roman" w:cs="Times New Roman"/>
                <w:szCs w:val="24"/>
                <w:lang w:eastAsia="sk-SK"/>
              </w:rPr>
              <w:t>o</w:t>
            </w:r>
            <w:r w:rsidRPr="00C962CE">
              <w:rPr>
                <w:rFonts w:eastAsia="Times New Roman" w:cs="Times New Roman"/>
                <w:szCs w:val="24"/>
                <w:lang w:eastAsia="sk-SK"/>
              </w:rPr>
              <w:t xml:space="preserve"> možnostiach </w:t>
            </w:r>
            <w:r w:rsidR="009223AD">
              <w:rPr>
                <w:rFonts w:eastAsia="Times New Roman" w:cs="Times New Roman"/>
                <w:szCs w:val="24"/>
                <w:lang w:eastAsia="sk-SK"/>
              </w:rPr>
              <w:t xml:space="preserve">realizácie </w:t>
            </w:r>
            <w:proofErr w:type="spellStart"/>
            <w:r w:rsidR="009223AD">
              <w:rPr>
                <w:rFonts w:eastAsia="Times New Roman" w:cs="Times New Roman"/>
                <w:szCs w:val="24"/>
                <w:lang w:eastAsia="sk-SK"/>
              </w:rPr>
              <w:t>nízkouhlíkových</w:t>
            </w:r>
            <w:proofErr w:type="spellEnd"/>
            <w:r w:rsidR="009223AD">
              <w:rPr>
                <w:rFonts w:eastAsia="Times New Roman" w:cs="Times New Roman"/>
                <w:szCs w:val="24"/>
                <w:lang w:eastAsia="sk-SK"/>
              </w:rPr>
              <w:t xml:space="preserve"> opatrení</w:t>
            </w:r>
            <w:r w:rsidR="00D8123B">
              <w:rPr>
                <w:rFonts w:eastAsia="Times New Roman" w:cs="Times New Roman"/>
                <w:szCs w:val="24"/>
                <w:lang w:eastAsia="sk-SK"/>
              </w:rPr>
              <w:t>,</w:t>
            </w:r>
            <w:r w:rsidR="00390041">
              <w:rPr>
                <w:rFonts w:eastAsia="Times New Roman" w:cs="Times New Roman"/>
                <w:szCs w:val="24"/>
                <w:lang w:eastAsia="sk-SK"/>
              </w:rPr>
              <w:t xml:space="preserve"> najmä v oblasti energetickej efektívnosti a udržateľného využívania</w:t>
            </w:r>
            <w:r w:rsidRPr="00C962CE">
              <w:rPr>
                <w:rFonts w:eastAsia="Times New Roman" w:cs="Times New Roman"/>
                <w:szCs w:val="24"/>
                <w:lang w:eastAsia="sk-SK"/>
              </w:rPr>
              <w:t xml:space="preserve"> OZE</w:t>
            </w:r>
            <w:r w:rsidR="009223AD">
              <w:rPr>
                <w:rFonts w:eastAsia="Times New Roman" w:cs="Times New Roman"/>
                <w:szCs w:val="24"/>
                <w:lang w:eastAsia="sk-SK"/>
              </w:rPr>
              <w:t>,</w:t>
            </w:r>
            <w:r w:rsidRPr="00C962CE">
              <w:rPr>
                <w:rFonts w:eastAsia="Times New Roman" w:cs="Times New Roman"/>
                <w:szCs w:val="24"/>
                <w:lang w:eastAsia="sk-SK"/>
              </w:rPr>
              <w:t xml:space="preserve"> </w:t>
            </w:r>
            <w:r w:rsidR="00390041">
              <w:rPr>
                <w:rFonts w:eastAsia="Times New Roman" w:cs="Times New Roman"/>
                <w:szCs w:val="24"/>
                <w:lang w:eastAsia="sk-SK"/>
              </w:rPr>
              <w:t xml:space="preserve">bude monitorovaný analýzami </w:t>
            </w:r>
            <w:r w:rsidR="00650277">
              <w:rPr>
                <w:rFonts w:eastAsia="Times New Roman" w:cs="Times New Roman"/>
                <w:szCs w:val="24"/>
                <w:lang w:eastAsia="sk-SK"/>
              </w:rPr>
              <w:t>uskutočňovanými v priebehu implementácie</w:t>
            </w:r>
            <w:r w:rsidRPr="00C962CE">
              <w:rPr>
                <w:rFonts w:eastAsia="Times New Roman" w:cs="Times New Roman"/>
                <w:szCs w:val="24"/>
                <w:lang w:eastAsia="sk-SK"/>
              </w:rPr>
              <w:t xml:space="preserve"> projektu. Budú využívané metódy štatistických analýz na reprezentatívnych vzorkách cieľových skupín (verejnosť, subjekty ústrednej správy, subjekty územnej samosprávy, subjekty súkromného sektora). Taktiež z alokovaných prostriedkov budú realizované rôzne menšie výskumy a analýzy, ako aj nákup prieskumov a výskumných projektov od medzinárodných organizácií, ktoré sa zaoberajú opatreniami z oblasti </w:t>
            </w:r>
            <w:proofErr w:type="spellStart"/>
            <w:r w:rsidRPr="00C962CE">
              <w:rPr>
                <w:rFonts w:eastAsia="Times New Roman" w:cs="Times New Roman"/>
                <w:szCs w:val="24"/>
                <w:lang w:eastAsia="sk-SK"/>
              </w:rPr>
              <w:t>nízkouhlíkového</w:t>
            </w:r>
            <w:proofErr w:type="spellEnd"/>
            <w:r w:rsidRPr="00C962CE">
              <w:rPr>
                <w:rFonts w:eastAsia="Times New Roman" w:cs="Times New Roman"/>
                <w:szCs w:val="24"/>
                <w:lang w:eastAsia="sk-SK"/>
              </w:rPr>
              <w:t xml:space="preserve"> hospodárstva, energetickej efektívnosti a udržateľného využívania OZE.</w:t>
            </w:r>
            <w:r w:rsidR="009223AD">
              <w:rPr>
                <w:rFonts w:eastAsia="Times New Roman" w:cs="Times New Roman"/>
                <w:szCs w:val="24"/>
                <w:lang w:eastAsia="sk-SK"/>
              </w:rPr>
              <w:t xml:space="preserve"> Súčasťou aktivity bude aj účasť v medzinárodných organizáciách a krytie s tým súvisiacich výdavkov.</w:t>
            </w:r>
          </w:p>
          <w:p w14:paraId="1BBF4B72" w14:textId="77777777" w:rsidR="003C3E40" w:rsidRDefault="003C3E40" w:rsidP="000C7981">
            <w:pPr>
              <w:rPr>
                <w:rFonts w:eastAsia="Times New Roman" w:cs="Times New Roman"/>
                <w:szCs w:val="24"/>
                <w:lang w:eastAsia="sk-SK"/>
              </w:rPr>
            </w:pPr>
          </w:p>
          <w:p w14:paraId="14BE092B" w14:textId="77777777" w:rsidR="003C3E40" w:rsidRPr="007021B9" w:rsidRDefault="003C3E40" w:rsidP="003C3E40">
            <w:pPr>
              <w:rPr>
                <w:szCs w:val="24"/>
              </w:rPr>
            </w:pPr>
            <w:r w:rsidRPr="007021B9">
              <w:rPr>
                <w:szCs w:val="24"/>
              </w:rPr>
              <w:t>Popri hlavných aktivitách bude realizácia projektu zabezpečovaná prostredníctvom podporných aktivít a to najmä:</w:t>
            </w:r>
          </w:p>
          <w:p w14:paraId="5972654D" w14:textId="77777777" w:rsidR="003C3E40" w:rsidRPr="007021B9" w:rsidRDefault="003C3E40" w:rsidP="00CB0825">
            <w:pPr>
              <w:pStyle w:val="Odsekzoznamu"/>
              <w:numPr>
                <w:ilvl w:val="0"/>
                <w:numId w:val="13"/>
              </w:numPr>
              <w:ind w:left="426" w:hanging="284"/>
              <w:rPr>
                <w:szCs w:val="24"/>
              </w:rPr>
            </w:pPr>
            <w:r>
              <w:rPr>
                <w:szCs w:val="24"/>
              </w:rPr>
              <w:t>r</w:t>
            </w:r>
            <w:r w:rsidRPr="007021B9">
              <w:rPr>
                <w:szCs w:val="24"/>
              </w:rPr>
              <w:t>iadenie projektu</w:t>
            </w:r>
            <w:r>
              <w:rPr>
                <w:szCs w:val="24"/>
              </w:rPr>
              <w:t>;</w:t>
            </w:r>
          </w:p>
          <w:p w14:paraId="14A51B09" w14:textId="483C0618" w:rsidR="003C3E40" w:rsidRPr="007021B9" w:rsidRDefault="003C3E40" w:rsidP="00CB0825">
            <w:pPr>
              <w:pStyle w:val="Odsekzoznamu"/>
              <w:numPr>
                <w:ilvl w:val="0"/>
                <w:numId w:val="13"/>
              </w:numPr>
              <w:ind w:left="426" w:hanging="284"/>
              <w:rPr>
                <w:szCs w:val="24"/>
              </w:rPr>
            </w:pPr>
            <w:r>
              <w:rPr>
                <w:szCs w:val="24"/>
              </w:rPr>
              <w:t>p</w:t>
            </w:r>
            <w:r w:rsidRPr="007021B9">
              <w:rPr>
                <w:szCs w:val="24"/>
              </w:rPr>
              <w:t>ublicita a informovanosť</w:t>
            </w:r>
            <w:r w:rsidR="0022519A">
              <w:rPr>
                <w:szCs w:val="24"/>
              </w:rPr>
              <w:t>.</w:t>
            </w:r>
          </w:p>
          <w:p w14:paraId="2FF5ADBB" w14:textId="77777777" w:rsidR="00320FC1" w:rsidRDefault="00320FC1" w:rsidP="003C3E40">
            <w:pPr>
              <w:rPr>
                <w:szCs w:val="24"/>
              </w:rPr>
            </w:pPr>
          </w:p>
          <w:p w14:paraId="2ED7247E" w14:textId="77777777" w:rsidR="003C3E40" w:rsidRPr="00400F1E" w:rsidRDefault="003C3E40" w:rsidP="003C3E40">
            <w:pPr>
              <w:rPr>
                <w:rFonts w:eastAsia="Times New Roman" w:cs="Times New Roman"/>
                <w:szCs w:val="24"/>
                <w:lang w:eastAsia="sk-SK"/>
              </w:rPr>
            </w:pPr>
            <w:r w:rsidRPr="007021B9">
              <w:rPr>
                <w:szCs w:val="24"/>
              </w:rPr>
              <w:t>Na tento účel budú využití prioritne zamestnanci SIEA.</w:t>
            </w:r>
          </w:p>
        </w:tc>
      </w:tr>
    </w:tbl>
    <w:p w14:paraId="2400AACE" w14:textId="77777777" w:rsidR="007E285C" w:rsidRPr="0016749B" w:rsidRDefault="007E285C" w:rsidP="00FC7CD5">
      <w:pPr>
        <w:spacing w:after="0" w:line="240" w:lineRule="auto"/>
        <w:sectPr w:rsidR="007E285C" w:rsidRPr="0016749B" w:rsidSect="005E4C1B"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669"/>
        <w:gridCol w:w="2746"/>
        <w:gridCol w:w="4092"/>
        <w:gridCol w:w="4146"/>
      </w:tblGrid>
      <w:tr w:rsidR="005E01D4" w:rsidRPr="00545FC9" w14:paraId="685940FE" w14:textId="77777777" w:rsidTr="00476FB8">
        <w:trPr>
          <w:trHeight w:val="76"/>
        </w:trPr>
        <w:tc>
          <w:tcPr>
            <w:tcW w:w="13893" w:type="dxa"/>
            <w:gridSpan w:val="5"/>
            <w:shd w:val="clear" w:color="auto" w:fill="CCC0D9" w:themeFill="accent4" w:themeFillTint="66"/>
          </w:tcPr>
          <w:p w14:paraId="6FB4060E" w14:textId="51A5B7FA" w:rsidR="005E01D4" w:rsidRPr="00545FC9" w:rsidDel="00187776" w:rsidRDefault="00A40200" w:rsidP="00A4020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8</w:t>
            </w:r>
            <w:r w:rsidR="005E01D4" w:rsidRPr="00545FC9">
              <w:rPr>
                <w:b/>
                <w:bCs/>
                <w:szCs w:val="24"/>
              </w:rPr>
              <w:t>. Prehľad merateľných ukazovateľov projektu</w:t>
            </w:r>
          </w:p>
        </w:tc>
      </w:tr>
      <w:tr w:rsidR="00947F95" w:rsidRPr="00545FC9" w14:paraId="4F32DF17" w14:textId="77777777" w:rsidTr="00195155">
        <w:trPr>
          <w:trHeight w:val="76"/>
        </w:trPr>
        <w:tc>
          <w:tcPr>
            <w:tcW w:w="1240" w:type="dxa"/>
            <w:vAlign w:val="center"/>
          </w:tcPr>
          <w:p w14:paraId="431F3E7E" w14:textId="77777777" w:rsidR="00947F95" w:rsidRPr="00545FC9" w:rsidDel="00187776" w:rsidRDefault="00947F95" w:rsidP="00195155">
            <w:pPr>
              <w:jc w:val="center"/>
              <w:rPr>
                <w:b/>
                <w:bCs/>
                <w:szCs w:val="24"/>
              </w:rPr>
            </w:pPr>
            <w:r w:rsidRPr="00545FC9">
              <w:rPr>
                <w:b/>
                <w:bCs/>
                <w:szCs w:val="24"/>
              </w:rPr>
              <w:t>Kód</w:t>
            </w:r>
          </w:p>
        </w:tc>
        <w:tc>
          <w:tcPr>
            <w:tcW w:w="1669" w:type="dxa"/>
            <w:vAlign w:val="center"/>
          </w:tcPr>
          <w:p w14:paraId="20AD4908" w14:textId="77777777" w:rsidR="00947F95" w:rsidRPr="00545FC9" w:rsidDel="00187776" w:rsidRDefault="00947F95" w:rsidP="00195155">
            <w:pPr>
              <w:jc w:val="center"/>
              <w:rPr>
                <w:b/>
                <w:bCs/>
                <w:szCs w:val="24"/>
              </w:rPr>
            </w:pPr>
            <w:r w:rsidRPr="00545FC9">
              <w:rPr>
                <w:b/>
                <w:bCs/>
                <w:szCs w:val="24"/>
              </w:rPr>
              <w:t>Názov</w:t>
            </w:r>
          </w:p>
        </w:tc>
        <w:tc>
          <w:tcPr>
            <w:tcW w:w="2746" w:type="dxa"/>
            <w:vAlign w:val="center"/>
          </w:tcPr>
          <w:p w14:paraId="32D788E8" w14:textId="77777777" w:rsidR="00947F95" w:rsidRPr="00545FC9" w:rsidDel="00187776" w:rsidRDefault="00947F95" w:rsidP="00195155">
            <w:pPr>
              <w:jc w:val="center"/>
              <w:rPr>
                <w:b/>
                <w:bCs/>
                <w:szCs w:val="24"/>
              </w:rPr>
            </w:pPr>
            <w:r w:rsidRPr="00545FC9">
              <w:rPr>
                <w:b/>
                <w:bCs/>
                <w:szCs w:val="24"/>
              </w:rPr>
              <w:t>Merná jednotka</w:t>
            </w:r>
          </w:p>
        </w:tc>
        <w:tc>
          <w:tcPr>
            <w:tcW w:w="4092" w:type="dxa"/>
            <w:vAlign w:val="center"/>
          </w:tcPr>
          <w:p w14:paraId="11ABED52" w14:textId="77777777" w:rsidR="00947F95" w:rsidRPr="00545FC9" w:rsidDel="00187776" w:rsidRDefault="00947F95" w:rsidP="00195155">
            <w:pPr>
              <w:jc w:val="center"/>
              <w:rPr>
                <w:b/>
                <w:bCs/>
                <w:szCs w:val="24"/>
              </w:rPr>
            </w:pPr>
            <w:r w:rsidRPr="00545FC9">
              <w:rPr>
                <w:b/>
                <w:bCs/>
                <w:szCs w:val="24"/>
              </w:rPr>
              <w:t>Celková cieľová hodnota</w:t>
            </w:r>
          </w:p>
        </w:tc>
        <w:tc>
          <w:tcPr>
            <w:tcW w:w="4146" w:type="dxa"/>
            <w:vAlign w:val="center"/>
          </w:tcPr>
          <w:p w14:paraId="4D805467" w14:textId="77777777" w:rsidR="00947F95" w:rsidRPr="00545FC9" w:rsidDel="00187776" w:rsidRDefault="00947F95" w:rsidP="00195155">
            <w:pPr>
              <w:jc w:val="center"/>
              <w:rPr>
                <w:b/>
                <w:bCs/>
                <w:szCs w:val="24"/>
              </w:rPr>
            </w:pPr>
            <w:r w:rsidRPr="00545FC9">
              <w:rPr>
                <w:b/>
                <w:bCs/>
                <w:szCs w:val="24"/>
              </w:rPr>
              <w:t>Relevancia k HP</w:t>
            </w:r>
          </w:p>
        </w:tc>
      </w:tr>
      <w:tr w:rsidR="00947F95" w:rsidRPr="00545FC9" w14:paraId="0BF24D18" w14:textId="77777777" w:rsidTr="00195155">
        <w:trPr>
          <w:trHeight w:val="76"/>
        </w:trPr>
        <w:tc>
          <w:tcPr>
            <w:tcW w:w="1240" w:type="dxa"/>
            <w:vAlign w:val="center"/>
          </w:tcPr>
          <w:p w14:paraId="6DA54FDE" w14:textId="77777777" w:rsidR="00947F95" w:rsidRPr="00545FC9" w:rsidRDefault="00947F95" w:rsidP="0019515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O0180</w:t>
            </w:r>
          </w:p>
        </w:tc>
        <w:tc>
          <w:tcPr>
            <w:tcW w:w="1669" w:type="dxa"/>
            <w:vAlign w:val="center"/>
          </w:tcPr>
          <w:p w14:paraId="79F5E1AB" w14:textId="77777777" w:rsidR="00947F95" w:rsidRPr="00942EC7" w:rsidRDefault="00947F95" w:rsidP="00195155">
            <w:pPr>
              <w:jc w:val="center"/>
              <w:rPr>
                <w:bCs/>
                <w:szCs w:val="24"/>
              </w:rPr>
            </w:pPr>
            <w:r w:rsidRPr="00942EC7">
              <w:rPr>
                <w:bCs/>
                <w:szCs w:val="24"/>
              </w:rPr>
              <w:t xml:space="preserve">Počet </w:t>
            </w:r>
            <w:r>
              <w:rPr>
                <w:bCs/>
                <w:szCs w:val="24"/>
              </w:rPr>
              <w:t>zrealizovaných informačných aktivít</w:t>
            </w:r>
          </w:p>
        </w:tc>
        <w:tc>
          <w:tcPr>
            <w:tcW w:w="2746" w:type="dxa"/>
            <w:vAlign w:val="center"/>
          </w:tcPr>
          <w:p w14:paraId="68DF5E38" w14:textId="77777777" w:rsidR="00947F95" w:rsidRPr="00942EC7" w:rsidRDefault="00947F95" w:rsidP="0019515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p</w:t>
            </w:r>
            <w:r w:rsidRPr="00942EC7">
              <w:rPr>
                <w:bCs/>
                <w:szCs w:val="24"/>
              </w:rPr>
              <w:t>očet</w:t>
            </w:r>
          </w:p>
        </w:tc>
        <w:tc>
          <w:tcPr>
            <w:tcW w:w="4092" w:type="dxa"/>
            <w:vAlign w:val="center"/>
          </w:tcPr>
          <w:p w14:paraId="5C2E8959" w14:textId="77777777" w:rsidR="00947F95" w:rsidRPr="00942EC7" w:rsidRDefault="00947F95" w:rsidP="00195155">
            <w:pPr>
              <w:jc w:val="center"/>
              <w:rPr>
                <w:bCs/>
                <w:szCs w:val="24"/>
              </w:rPr>
            </w:pPr>
            <w:r w:rsidRPr="00942EC7">
              <w:rPr>
                <w:bCs/>
                <w:szCs w:val="24"/>
              </w:rPr>
              <w:t>2500</w:t>
            </w:r>
            <w:r>
              <w:rPr>
                <w:bCs/>
                <w:szCs w:val="24"/>
              </w:rPr>
              <w:t xml:space="preserve"> (6/2023)</w:t>
            </w:r>
          </w:p>
        </w:tc>
        <w:tc>
          <w:tcPr>
            <w:tcW w:w="4146" w:type="dxa"/>
            <w:vAlign w:val="center"/>
          </w:tcPr>
          <w:p w14:paraId="48B6128B" w14:textId="77777777" w:rsidR="00947F95" w:rsidRPr="00B46352" w:rsidRDefault="00947F95" w:rsidP="00195155">
            <w:pPr>
              <w:jc w:val="center"/>
              <w:rPr>
                <w:bCs/>
                <w:szCs w:val="24"/>
              </w:rPr>
            </w:pPr>
            <w:r w:rsidRPr="00B46352">
              <w:rPr>
                <w:bCs/>
                <w:szCs w:val="24"/>
              </w:rPr>
              <w:t>N/A</w:t>
            </w:r>
          </w:p>
        </w:tc>
      </w:tr>
      <w:tr w:rsidR="00947F95" w:rsidRPr="00545FC9" w14:paraId="0CB78FD2" w14:textId="77777777" w:rsidTr="00195155">
        <w:trPr>
          <w:trHeight w:val="76"/>
        </w:trPr>
        <w:tc>
          <w:tcPr>
            <w:tcW w:w="1240" w:type="dxa"/>
            <w:vAlign w:val="center"/>
          </w:tcPr>
          <w:p w14:paraId="6984577A" w14:textId="77777777" w:rsidR="00947F95" w:rsidRDefault="00947F95" w:rsidP="0019515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669" w:type="dxa"/>
            <w:vAlign w:val="center"/>
          </w:tcPr>
          <w:p w14:paraId="151CC149" w14:textId="77777777" w:rsidR="00947F95" w:rsidRPr="009C2A6F" w:rsidRDefault="00947F95" w:rsidP="00195155">
            <w:pPr>
              <w:jc w:val="center"/>
              <w:rPr>
                <w:bCs/>
                <w:szCs w:val="24"/>
              </w:rPr>
            </w:pPr>
            <w:r w:rsidRPr="009C2A6F">
              <w:rPr>
                <w:bCs/>
                <w:sz w:val="22"/>
              </w:rPr>
              <w:t>Počet osôb zapojených do informačných aktivít</w:t>
            </w:r>
          </w:p>
        </w:tc>
        <w:tc>
          <w:tcPr>
            <w:tcW w:w="2746" w:type="dxa"/>
            <w:vAlign w:val="center"/>
          </w:tcPr>
          <w:p w14:paraId="0B2FB875" w14:textId="154F336E" w:rsidR="00947F95" w:rsidRDefault="00290319" w:rsidP="0019515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p</w:t>
            </w:r>
            <w:r w:rsidR="00947F95">
              <w:rPr>
                <w:bCs/>
                <w:szCs w:val="24"/>
              </w:rPr>
              <w:t>očet</w:t>
            </w:r>
          </w:p>
        </w:tc>
        <w:tc>
          <w:tcPr>
            <w:tcW w:w="4092" w:type="dxa"/>
            <w:vAlign w:val="center"/>
          </w:tcPr>
          <w:p w14:paraId="40C4170D" w14:textId="2BE7C7C2" w:rsidR="00947F95" w:rsidRPr="00942EC7" w:rsidRDefault="009C2A6F" w:rsidP="0019515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6500 (6/2023)</w:t>
            </w:r>
          </w:p>
        </w:tc>
        <w:tc>
          <w:tcPr>
            <w:tcW w:w="4146" w:type="dxa"/>
            <w:vAlign w:val="center"/>
          </w:tcPr>
          <w:p w14:paraId="6B148177" w14:textId="77777777" w:rsidR="00947F95" w:rsidRPr="00B46352" w:rsidRDefault="00947F95" w:rsidP="00195155">
            <w:pPr>
              <w:jc w:val="center"/>
              <w:rPr>
                <w:bCs/>
                <w:szCs w:val="24"/>
              </w:rPr>
            </w:pPr>
            <w:proofErr w:type="spellStart"/>
            <w:r>
              <w:rPr>
                <w:bCs/>
                <w:szCs w:val="24"/>
              </w:rPr>
              <w:t>RPaN</w:t>
            </w:r>
            <w:proofErr w:type="spellEnd"/>
          </w:p>
        </w:tc>
      </w:tr>
    </w:tbl>
    <w:p w14:paraId="391F9AA3" w14:textId="77777777" w:rsidR="005E01D4" w:rsidRPr="0016749B" w:rsidRDefault="005E01D4" w:rsidP="005F180E">
      <w:pPr>
        <w:tabs>
          <w:tab w:val="left" w:pos="180"/>
        </w:tabs>
        <w:spacing w:line="240" w:lineRule="auto"/>
      </w:pPr>
    </w:p>
    <w:tbl>
      <w:tblPr>
        <w:tblStyle w:val="Mriekatabuky"/>
        <w:tblW w:w="14000" w:type="dxa"/>
        <w:tblLook w:val="04A0" w:firstRow="1" w:lastRow="0" w:firstColumn="1" w:lastColumn="0" w:noHBand="0" w:noVBand="1"/>
      </w:tblPr>
      <w:tblGrid>
        <w:gridCol w:w="4102"/>
        <w:gridCol w:w="9898"/>
      </w:tblGrid>
      <w:tr w:rsidR="00B10209" w:rsidRPr="0016749B" w14:paraId="492DAB63" w14:textId="77777777" w:rsidTr="002905F0">
        <w:trPr>
          <w:trHeight w:val="330"/>
        </w:trPr>
        <w:tc>
          <w:tcPr>
            <w:tcW w:w="14000" w:type="dxa"/>
            <w:gridSpan w:val="2"/>
            <w:shd w:val="clear" w:color="auto" w:fill="CCC0D9" w:themeFill="accent4" w:themeFillTint="66"/>
            <w:hideMark/>
          </w:tcPr>
          <w:p w14:paraId="0039EC5F" w14:textId="61E59FE3" w:rsidR="00B10209" w:rsidRPr="0016749B" w:rsidRDefault="00A40200" w:rsidP="00F514E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  <w:r w:rsidR="00B10209" w:rsidRPr="0016749B">
              <w:rPr>
                <w:b/>
              </w:rPr>
              <w:t xml:space="preserve"> Požadovaná výška NFP</w:t>
            </w:r>
          </w:p>
        </w:tc>
      </w:tr>
      <w:tr w:rsidR="00B10209" w:rsidRPr="0016749B" w14:paraId="77BBA529" w14:textId="77777777" w:rsidTr="002905F0">
        <w:trPr>
          <w:trHeight w:val="354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7814DB9D" w14:textId="77777777" w:rsidR="00B10209" w:rsidRPr="00400F1E" w:rsidRDefault="00B10209" w:rsidP="00FC7CD5">
            <w:pPr>
              <w:rPr>
                <w:szCs w:val="24"/>
              </w:rPr>
            </w:pPr>
            <w:r w:rsidRPr="00400F1E">
              <w:rPr>
                <w:szCs w:val="24"/>
              </w:rPr>
              <w:t xml:space="preserve">Celková výška oprávnených výdavkov </w:t>
            </w:r>
            <w:r w:rsidR="00C47274" w:rsidRPr="00400F1E">
              <w:rPr>
                <w:szCs w:val="24"/>
              </w:rPr>
              <w:t>(EUR)</w:t>
            </w:r>
          </w:p>
        </w:tc>
        <w:tc>
          <w:tcPr>
            <w:tcW w:w="9898" w:type="dxa"/>
          </w:tcPr>
          <w:p w14:paraId="7446AD2D" w14:textId="052ABA1C" w:rsidR="00CE74F9" w:rsidRDefault="00CE74F9" w:rsidP="00CE74F9">
            <w:p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ZDROJE EU                       ŠR                      </w:t>
            </w:r>
            <w:r w:rsidR="003B4643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PRO RATA</w:t>
            </w:r>
            <w:r w:rsidR="003B4643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(ŠR)                   </w:t>
            </w:r>
            <w:r w:rsidRPr="003175ED">
              <w:rPr>
                <w:b/>
                <w:bCs/>
                <w:szCs w:val="24"/>
              </w:rPr>
              <w:t>SPOLU</w:t>
            </w:r>
          </w:p>
          <w:p w14:paraId="566E7ADA" w14:textId="5C31DFDC" w:rsidR="00CE74F9" w:rsidRPr="00C06ADB" w:rsidRDefault="00CE74F9" w:rsidP="00CE74F9">
            <w:p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25 000 </w:t>
            </w:r>
            <w:proofErr w:type="spellStart"/>
            <w:r>
              <w:rPr>
                <w:bCs/>
                <w:szCs w:val="24"/>
              </w:rPr>
              <w:t>000</w:t>
            </w:r>
            <w:proofErr w:type="spellEnd"/>
            <w:r w:rsidRPr="00C06ADB">
              <w:rPr>
                <w:bCs/>
                <w:szCs w:val="24"/>
              </w:rPr>
              <w:t xml:space="preserve"> EUR</w:t>
            </w:r>
            <w:r>
              <w:rPr>
                <w:bCs/>
                <w:szCs w:val="24"/>
              </w:rPr>
              <w:t xml:space="preserve">            4 411 765 EUR           3 694 679 EUR                </w:t>
            </w:r>
            <w:r>
              <w:rPr>
                <w:b/>
                <w:bCs/>
                <w:szCs w:val="24"/>
              </w:rPr>
              <w:t xml:space="preserve">33 106 444 </w:t>
            </w:r>
            <w:r w:rsidRPr="003175ED">
              <w:rPr>
                <w:b/>
                <w:bCs/>
                <w:szCs w:val="24"/>
              </w:rPr>
              <w:t>EUR</w:t>
            </w:r>
          </w:p>
          <w:p w14:paraId="533A1EC7" w14:textId="7E104032" w:rsidR="00B10209" w:rsidRPr="00140266" w:rsidRDefault="00B10209" w:rsidP="00400F1E">
            <w:pPr>
              <w:rPr>
                <w:b/>
              </w:rPr>
            </w:pPr>
          </w:p>
        </w:tc>
      </w:tr>
      <w:tr w:rsidR="00CD6015" w:rsidRPr="0016749B" w14:paraId="06BF39D8" w14:textId="77777777" w:rsidTr="002905F0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74BC132C" w14:textId="77777777" w:rsidR="00CD6015" w:rsidRPr="00400F1E" w:rsidRDefault="00CD6015" w:rsidP="00FC7CD5">
            <w:pPr>
              <w:rPr>
                <w:szCs w:val="24"/>
              </w:rPr>
            </w:pPr>
            <w:r w:rsidRPr="00400F1E">
              <w:rPr>
                <w:szCs w:val="24"/>
              </w:rPr>
              <w:t xml:space="preserve">Celková výška oprávnených výdavkov </w:t>
            </w:r>
            <w:r w:rsidR="00D4101E" w:rsidRPr="00400F1E">
              <w:rPr>
                <w:szCs w:val="24"/>
              </w:rPr>
              <w:t xml:space="preserve">pre projekty generujúce príjem </w:t>
            </w:r>
            <w:r w:rsidRPr="00400F1E">
              <w:rPr>
                <w:szCs w:val="24"/>
              </w:rPr>
              <w:t>(EUR)</w:t>
            </w:r>
          </w:p>
        </w:tc>
        <w:tc>
          <w:tcPr>
            <w:tcW w:w="9898" w:type="dxa"/>
            <w:shd w:val="clear" w:color="auto" w:fill="FFFFFF" w:themeFill="background1"/>
          </w:tcPr>
          <w:p w14:paraId="6E3873CC" w14:textId="77777777" w:rsidR="00CD6015" w:rsidRPr="0016749B" w:rsidRDefault="00257D97" w:rsidP="00400F1E">
            <w:pPr>
              <w:rPr>
                <w:sz w:val="18"/>
                <w:szCs w:val="18"/>
              </w:rPr>
            </w:pPr>
            <w:r>
              <w:t xml:space="preserve">0 </w:t>
            </w:r>
            <w:r w:rsidR="00DE347C">
              <w:t>EUR</w:t>
            </w:r>
          </w:p>
        </w:tc>
      </w:tr>
      <w:tr w:rsidR="00B10209" w:rsidRPr="0016749B" w14:paraId="57B34F0A" w14:textId="77777777" w:rsidTr="002905F0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711ADA20" w14:textId="77777777" w:rsidR="009D314B" w:rsidRPr="00400F1E" w:rsidRDefault="00B10209" w:rsidP="00FC7CD5">
            <w:pPr>
              <w:rPr>
                <w:szCs w:val="24"/>
              </w:rPr>
            </w:pPr>
            <w:r w:rsidRPr="00400F1E">
              <w:rPr>
                <w:szCs w:val="24"/>
              </w:rPr>
              <w:t>Percento spolufinancovania zo zdrojov EU a</w:t>
            </w:r>
            <w:r w:rsidR="00C47274" w:rsidRPr="00400F1E">
              <w:rPr>
                <w:szCs w:val="24"/>
              </w:rPr>
              <w:t> </w:t>
            </w:r>
            <w:r w:rsidRPr="00400F1E">
              <w:rPr>
                <w:szCs w:val="24"/>
              </w:rPr>
              <w:t>ŠR</w:t>
            </w:r>
            <w:r w:rsidR="00C47274" w:rsidRPr="00400F1E">
              <w:rPr>
                <w:szCs w:val="24"/>
              </w:rPr>
              <w:t xml:space="preserve"> (%)</w:t>
            </w:r>
          </w:p>
        </w:tc>
        <w:tc>
          <w:tcPr>
            <w:tcW w:w="9898" w:type="dxa"/>
          </w:tcPr>
          <w:p w14:paraId="2E2EE27B" w14:textId="37344438" w:rsidR="00B10209" w:rsidRPr="0016749B" w:rsidRDefault="00CE74F9" w:rsidP="004250C3">
            <w:pPr>
              <w:rPr>
                <w:sz w:val="18"/>
                <w:szCs w:val="18"/>
              </w:rPr>
            </w:pPr>
            <w:r w:rsidRPr="003175ED">
              <w:rPr>
                <w:bCs/>
              </w:rPr>
              <w:t>75,514 % EU a 13,326 % ŠR</w:t>
            </w:r>
            <w:r>
              <w:rPr>
                <w:bCs/>
              </w:rPr>
              <w:t xml:space="preserve"> a 11,16 % PRO RATA (ŠR)</w:t>
            </w:r>
          </w:p>
        </w:tc>
      </w:tr>
      <w:tr w:rsidR="00CE74F9" w:rsidRPr="0016749B" w14:paraId="5497637F" w14:textId="77777777" w:rsidTr="002905F0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14EC21FB" w14:textId="77777777" w:rsidR="00CE74F9" w:rsidRPr="00400F1E" w:rsidRDefault="00CE74F9" w:rsidP="00FC7CD5">
            <w:pPr>
              <w:rPr>
                <w:szCs w:val="24"/>
              </w:rPr>
            </w:pPr>
            <w:r w:rsidRPr="00400F1E">
              <w:rPr>
                <w:szCs w:val="24"/>
              </w:rPr>
              <w:t>Žiadaná výška nenávratného finančného príspevku (EUR)</w:t>
            </w:r>
          </w:p>
        </w:tc>
        <w:tc>
          <w:tcPr>
            <w:tcW w:w="9898" w:type="dxa"/>
          </w:tcPr>
          <w:p w14:paraId="0C166CAA" w14:textId="56318368" w:rsidR="00CE74F9" w:rsidRDefault="00CE74F9" w:rsidP="00481F6B">
            <w:p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ZDROJE EU                       ŠR                       PRO RATA</w:t>
            </w:r>
            <w:r w:rsidR="003B4643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(ŠR)                   </w:t>
            </w:r>
            <w:r w:rsidRPr="003175ED">
              <w:rPr>
                <w:b/>
                <w:bCs/>
                <w:szCs w:val="24"/>
              </w:rPr>
              <w:t>SPOLU</w:t>
            </w:r>
          </w:p>
          <w:p w14:paraId="5353664F" w14:textId="77777777" w:rsidR="00CE74F9" w:rsidRPr="00C06ADB" w:rsidRDefault="00CE74F9" w:rsidP="00481F6B">
            <w:pPr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25 000 </w:t>
            </w:r>
            <w:proofErr w:type="spellStart"/>
            <w:r>
              <w:rPr>
                <w:bCs/>
                <w:szCs w:val="24"/>
              </w:rPr>
              <w:t>000</w:t>
            </w:r>
            <w:proofErr w:type="spellEnd"/>
            <w:r w:rsidRPr="00C06ADB">
              <w:rPr>
                <w:bCs/>
                <w:szCs w:val="24"/>
              </w:rPr>
              <w:t xml:space="preserve"> EUR</w:t>
            </w:r>
            <w:r>
              <w:rPr>
                <w:bCs/>
                <w:szCs w:val="24"/>
              </w:rPr>
              <w:t xml:space="preserve">            4 411 765 EUR           3 694 679 EUR                </w:t>
            </w:r>
            <w:r>
              <w:rPr>
                <w:b/>
                <w:bCs/>
                <w:szCs w:val="24"/>
              </w:rPr>
              <w:t xml:space="preserve">33 106 444 </w:t>
            </w:r>
            <w:r w:rsidRPr="003175ED">
              <w:rPr>
                <w:b/>
                <w:bCs/>
                <w:szCs w:val="24"/>
              </w:rPr>
              <w:t>EUR</w:t>
            </w:r>
          </w:p>
          <w:p w14:paraId="41E04A83" w14:textId="42E68AA0" w:rsidR="00CE74F9" w:rsidRPr="0016749B" w:rsidRDefault="00CE74F9" w:rsidP="00DE347C"/>
        </w:tc>
      </w:tr>
      <w:tr w:rsidR="00CE74F9" w:rsidRPr="00F74B96" w14:paraId="72EF5F2B" w14:textId="77777777" w:rsidTr="002905F0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4ED0EC28" w14:textId="77777777" w:rsidR="00CE74F9" w:rsidRPr="00400F1E" w:rsidRDefault="00CE74F9" w:rsidP="00FC7CD5">
            <w:pPr>
              <w:rPr>
                <w:szCs w:val="24"/>
              </w:rPr>
            </w:pPr>
            <w:r w:rsidRPr="00400F1E">
              <w:rPr>
                <w:szCs w:val="24"/>
              </w:rPr>
              <w:t>Výška spolufinancovania z vlastných zdrojov žiadateľa (EUR)</w:t>
            </w:r>
          </w:p>
        </w:tc>
        <w:tc>
          <w:tcPr>
            <w:tcW w:w="9898" w:type="dxa"/>
          </w:tcPr>
          <w:p w14:paraId="40009F63" w14:textId="77777777" w:rsidR="00CE74F9" w:rsidRPr="00F74B96" w:rsidRDefault="00CE74F9" w:rsidP="00FC7CD5">
            <w:r>
              <w:t>0 EUR</w:t>
            </w:r>
          </w:p>
        </w:tc>
      </w:tr>
    </w:tbl>
    <w:p w14:paraId="6422FC64" w14:textId="77777777" w:rsidR="00E71849" w:rsidRDefault="00E71849" w:rsidP="00FC7CD5">
      <w:pPr>
        <w:spacing w:after="0" w:line="240" w:lineRule="auto"/>
      </w:pPr>
    </w:p>
    <w:p w14:paraId="2D396744" w14:textId="77777777" w:rsidR="00E71849" w:rsidRDefault="00E71849" w:rsidP="00FC7CD5">
      <w:pPr>
        <w:spacing w:after="0" w:line="240" w:lineRule="auto"/>
      </w:pPr>
    </w:p>
    <w:sectPr w:rsidR="00E71849" w:rsidSect="007A74ED">
      <w:headerReference w:type="default" r:id="rId16"/>
      <w:footerReference w:type="default" r:id="rId1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E477D" w14:textId="77777777" w:rsidR="00670249" w:rsidRDefault="00670249" w:rsidP="00297396">
      <w:pPr>
        <w:spacing w:after="0" w:line="240" w:lineRule="auto"/>
      </w:pPr>
      <w:r>
        <w:separator/>
      </w:r>
    </w:p>
  </w:endnote>
  <w:endnote w:type="continuationSeparator" w:id="0">
    <w:p w14:paraId="3849F82B" w14:textId="77777777" w:rsidR="00670249" w:rsidRDefault="00670249" w:rsidP="0029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B3628" w14:textId="77777777" w:rsidR="00016F1C" w:rsidRPr="00016F1C" w:rsidRDefault="00016F1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A737C0" wp14:editId="6E126B7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47E7083" id="Rovná spojnica 1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WSIIQIAACQEAAAOAAAAZHJzL2Uyb0RvYy54bWysU0tu2zAQ3RfoHQjua8ly7LqC5aCIkW6C&#10;Noj7WY8pSmJLkQRJW/ZxepZeLDOU6ybNrqgWBOfDN+/NjFbXx16zg/RBWVPx6STnTBpha2Xain/5&#10;fPtmyVmIYGrQ1siKn2Tg1+vXr1aDK2VhO6tr6RmCmFAOruJdjK7MsiA62UOYWCcNBhvre4ho+jar&#10;PQyI3uusyPNFNlhfO2+FDAG9mzHI1wm/aaSIn5omyMh0xZFbTKdP547ObL2CsvXgOiXONOAfWPSg&#10;DBa9QG0gAtt79QKqV8LbYJs4EbbPbNMoIZMGVDPN/1Kz7cDJpAWbE9ylTeH/wYqPh3vPVI2zKzgz&#10;0OOMHuzB/PrJgrPfjRLAMIJtGlwoMfvG3HsSKo5m6+6s+BEwlj0LkhHcmHZsfM8ardxXrJA6hJrZ&#10;MQ3gdBmAPEYm0Dl/uygWxZwzgbF3c7wROJSEQkWdD/GDtD2jS8W1MtQeKOFwF+KY+juF3MbeKq3R&#10;D6U2bKj4bDnNcQsE4KY1GiJee4fag2k5A93iCovoE2SwWtX0nF4H3+5utGcHwDVa5our96klyOxZ&#10;GtXeQOjGvBQ6C9CGYGRaSKRKht1H6bddPbCd3vsHQBpXOX6c1YrEFbOzgds6TxEMeRu/qdilxaDu&#10;vSBHCIhBftCug5HKbE7OsUFnLamvFw7JekIvDXScIU1zZ+vTvaf3ZOEqpvzzb0O7/tROWX9+7vUj&#10;AAAA//8DAFBLAwQUAAYACAAAACEAFUK1lN8AAAAHAQAADwAAAGRycy9kb3ducmV2LnhtbEyPzU7D&#10;MBCE70i8g7VI3FqniehPiFNREKrUQwWlQuLmxkscEa+j2E3D27Oc4La7M5r9pliPrhUD9qHxpGA2&#10;TUAgVd40VCs4vj1PliBC1GR06wkVfGOAdXl9Vejc+Au94nCIteAQCrlWYGPscilDZdHpMPUdEmuf&#10;vnc68trX0vT6wuGulWmSzKXTDfEHqzt8tFh9Hc5OwfYF9+/1ZrEbljuXZk+zrf3YZErd3owP9yAi&#10;jvHPDL/4jA4lM538mUwQrYLJgo0K0owLsLxK5jyc+HCXgSwL+Z+//AEAAP//AwBQSwECLQAUAAYA&#10;CAAAACEAtoM4kv4AAADhAQAAEwAAAAAAAAAAAAAAAAAAAAAAW0NvbnRlbnRfVHlwZXNdLnhtbFBL&#10;AQItABQABgAIAAAAIQA4/SH/1gAAAJQBAAALAAAAAAAAAAAAAAAAAC8BAABfcmVscy8ucmVsc1BL&#10;AQItABQABgAIAAAAIQAv1WSIIQIAACQEAAAOAAAAAAAAAAAAAAAAAC4CAABkcnMvZTJvRG9jLnht&#10;bFBLAQItABQABgAIAAAAIQAVQrWU3wAAAAcBAAAPAAAAAAAAAAAAAAAAAHsEAABkcnMvZG93bnJl&#10;di54bWxQSwUGAAAAAAQABADzAAAAhwUAAAAA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1F9850F" w14:textId="77777777" w:rsidR="00016F1C" w:rsidRDefault="00016F1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9467F0">
      <w:rPr>
        <w:rFonts w:eastAsia="Times New Roman" w:cs="Times New Roman"/>
        <w:noProof/>
        <w:szCs w:val="24"/>
        <w:lang w:eastAsia="sk-SK"/>
      </w:rPr>
      <w:t>1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14:paraId="5C7252E9" w14:textId="77777777" w:rsidR="00570367" w:rsidRPr="00016F1C" w:rsidRDefault="0057036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B5C6C" w14:textId="77777777" w:rsidR="00570367" w:rsidRPr="00570367" w:rsidRDefault="00570367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11D4F" w14:textId="77777777" w:rsidR="00670249" w:rsidRDefault="00670249" w:rsidP="00297396">
      <w:pPr>
        <w:spacing w:after="0" w:line="240" w:lineRule="auto"/>
      </w:pPr>
      <w:r>
        <w:separator/>
      </w:r>
    </w:p>
  </w:footnote>
  <w:footnote w:type="continuationSeparator" w:id="0">
    <w:p w14:paraId="6BBBF8FB" w14:textId="77777777" w:rsidR="00670249" w:rsidRDefault="00670249" w:rsidP="00297396">
      <w:pPr>
        <w:spacing w:after="0" w:line="240" w:lineRule="auto"/>
      </w:pPr>
      <w:r>
        <w:continuationSeparator/>
      </w:r>
    </w:p>
  </w:footnote>
  <w:footnote w:id="1">
    <w:p w14:paraId="55383B47" w14:textId="4E289513" w:rsidR="003D14D1" w:rsidRDefault="003D14D1" w:rsidP="005E4E07">
      <w:pPr>
        <w:pStyle w:val="Textpoznmkypodiarou"/>
        <w:ind w:left="709" w:hanging="709"/>
      </w:pPr>
      <w:r>
        <w:rPr>
          <w:rStyle w:val="Odkaznapoznmkupodiarou"/>
        </w:rPr>
        <w:footnoteRef/>
      </w:r>
      <w:r>
        <w:t xml:space="preserve"> B2B – </w:t>
      </w:r>
      <w:r w:rsidR="005E4E07">
        <w:t xml:space="preserve">ide </w:t>
      </w:r>
      <w:r>
        <w:t>o vzťah medzi odberateľom a poskytovateľom, pričom odberateľ nie je v tomto prípade koncový odberateľom, ale sprostredkovateľ.</w:t>
      </w:r>
    </w:p>
    <w:p w14:paraId="694708E1" w14:textId="7B0A1DDD" w:rsidR="003D14D1" w:rsidRDefault="00121CA1" w:rsidP="00121CA1">
      <w:pPr>
        <w:pStyle w:val="Textpoznmkypodiarou"/>
        <w:ind w:left="142" w:hanging="142"/>
      </w:pPr>
      <w:r>
        <w:t xml:space="preserve">   </w:t>
      </w:r>
      <w:r w:rsidR="003D14D1">
        <w:t>B2C – vzťah medzi poskytovateľom a koncovým odberateľom informácie.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7AC18" w14:textId="77777777" w:rsidR="00570367" w:rsidRDefault="00570367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1CFB"/>
    <w:multiLevelType w:val="multilevel"/>
    <w:tmpl w:val="951239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23F3E0B"/>
    <w:multiLevelType w:val="hybridMultilevel"/>
    <w:tmpl w:val="E0CA4B6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5B01BF"/>
    <w:multiLevelType w:val="hybridMultilevel"/>
    <w:tmpl w:val="64D232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B1A5B"/>
    <w:multiLevelType w:val="hybridMultilevel"/>
    <w:tmpl w:val="C9BA9FF8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33A16"/>
    <w:multiLevelType w:val="hybridMultilevel"/>
    <w:tmpl w:val="7716EA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07DD7"/>
    <w:multiLevelType w:val="hybridMultilevel"/>
    <w:tmpl w:val="B18864E8"/>
    <w:lvl w:ilvl="0" w:tplc="0EC27C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C7660"/>
    <w:multiLevelType w:val="hybridMultilevel"/>
    <w:tmpl w:val="0214F9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720EC"/>
    <w:multiLevelType w:val="hybridMultilevel"/>
    <w:tmpl w:val="650632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E12DE5"/>
    <w:multiLevelType w:val="multilevel"/>
    <w:tmpl w:val="5670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0">
    <w:nsid w:val="43F07E2B"/>
    <w:multiLevelType w:val="hybridMultilevel"/>
    <w:tmpl w:val="E9389862"/>
    <w:lvl w:ilvl="0" w:tplc="50D0D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21CE0"/>
    <w:multiLevelType w:val="multilevel"/>
    <w:tmpl w:val="A880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ACE2A0A"/>
    <w:multiLevelType w:val="hybridMultilevel"/>
    <w:tmpl w:val="13ECA6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F03CF1"/>
    <w:multiLevelType w:val="hybridMultilevel"/>
    <w:tmpl w:val="81DE9F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F240E4"/>
    <w:multiLevelType w:val="hybridMultilevel"/>
    <w:tmpl w:val="64D232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F30A8"/>
    <w:multiLevelType w:val="multilevel"/>
    <w:tmpl w:val="689C9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16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14"/>
  </w:num>
  <w:num w:numId="10">
    <w:abstractNumId w:val="12"/>
  </w:num>
  <w:num w:numId="11">
    <w:abstractNumId w:val="5"/>
  </w:num>
  <w:num w:numId="12">
    <w:abstractNumId w:val="10"/>
  </w:num>
  <w:num w:numId="13">
    <w:abstractNumId w:val="1"/>
  </w:num>
  <w:num w:numId="14">
    <w:abstractNumId w:val="7"/>
  </w:num>
  <w:num w:numId="15">
    <w:abstractNumId w:val="4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4687"/>
    <w:rsid w:val="0000709E"/>
    <w:rsid w:val="00007732"/>
    <w:rsid w:val="00016F1C"/>
    <w:rsid w:val="0001727A"/>
    <w:rsid w:val="0002093C"/>
    <w:rsid w:val="00020955"/>
    <w:rsid w:val="00024357"/>
    <w:rsid w:val="00027136"/>
    <w:rsid w:val="00036E27"/>
    <w:rsid w:val="00042010"/>
    <w:rsid w:val="00050586"/>
    <w:rsid w:val="00053993"/>
    <w:rsid w:val="00054CDE"/>
    <w:rsid w:val="00061D73"/>
    <w:rsid w:val="00062B88"/>
    <w:rsid w:val="00064294"/>
    <w:rsid w:val="00064F35"/>
    <w:rsid w:val="0007314B"/>
    <w:rsid w:val="00076FC2"/>
    <w:rsid w:val="000806BF"/>
    <w:rsid w:val="000829F0"/>
    <w:rsid w:val="00084859"/>
    <w:rsid w:val="0009714B"/>
    <w:rsid w:val="000B674B"/>
    <w:rsid w:val="000C0D6B"/>
    <w:rsid w:val="000C3731"/>
    <w:rsid w:val="000C5DAD"/>
    <w:rsid w:val="000C7981"/>
    <w:rsid w:val="000E4433"/>
    <w:rsid w:val="000F147F"/>
    <w:rsid w:val="000F396A"/>
    <w:rsid w:val="000F3F23"/>
    <w:rsid w:val="000F655A"/>
    <w:rsid w:val="00111284"/>
    <w:rsid w:val="00121CA1"/>
    <w:rsid w:val="00122AE5"/>
    <w:rsid w:val="00140266"/>
    <w:rsid w:val="001407E8"/>
    <w:rsid w:val="001449E8"/>
    <w:rsid w:val="00152308"/>
    <w:rsid w:val="00157F86"/>
    <w:rsid w:val="0016749B"/>
    <w:rsid w:val="0016773B"/>
    <w:rsid w:val="00167CF8"/>
    <w:rsid w:val="00170403"/>
    <w:rsid w:val="00171738"/>
    <w:rsid w:val="0017501E"/>
    <w:rsid w:val="001811B4"/>
    <w:rsid w:val="00186B3F"/>
    <w:rsid w:val="001875D8"/>
    <w:rsid w:val="00187776"/>
    <w:rsid w:val="00190056"/>
    <w:rsid w:val="00193A61"/>
    <w:rsid w:val="00195155"/>
    <w:rsid w:val="001A3CF3"/>
    <w:rsid w:val="001A69BA"/>
    <w:rsid w:val="001B0E36"/>
    <w:rsid w:val="001B15BC"/>
    <w:rsid w:val="001B358F"/>
    <w:rsid w:val="001C645B"/>
    <w:rsid w:val="001C7E29"/>
    <w:rsid w:val="001D56AE"/>
    <w:rsid w:val="001F0635"/>
    <w:rsid w:val="001F2267"/>
    <w:rsid w:val="001F5995"/>
    <w:rsid w:val="001F7C48"/>
    <w:rsid w:val="00204701"/>
    <w:rsid w:val="002111F6"/>
    <w:rsid w:val="00213FFE"/>
    <w:rsid w:val="00215499"/>
    <w:rsid w:val="0022519A"/>
    <w:rsid w:val="00226E15"/>
    <w:rsid w:val="002279C7"/>
    <w:rsid w:val="00231C62"/>
    <w:rsid w:val="002324C8"/>
    <w:rsid w:val="00240C5A"/>
    <w:rsid w:val="0025567F"/>
    <w:rsid w:val="00256AFF"/>
    <w:rsid w:val="00257D97"/>
    <w:rsid w:val="00266829"/>
    <w:rsid w:val="00276143"/>
    <w:rsid w:val="002777C6"/>
    <w:rsid w:val="00285FFB"/>
    <w:rsid w:val="00287711"/>
    <w:rsid w:val="00290319"/>
    <w:rsid w:val="002905F0"/>
    <w:rsid w:val="00297396"/>
    <w:rsid w:val="002A0802"/>
    <w:rsid w:val="002A2DDB"/>
    <w:rsid w:val="002A6EF9"/>
    <w:rsid w:val="002B0425"/>
    <w:rsid w:val="002C1A54"/>
    <w:rsid w:val="002C4DEF"/>
    <w:rsid w:val="002C6F90"/>
    <w:rsid w:val="002D014E"/>
    <w:rsid w:val="002D3AF1"/>
    <w:rsid w:val="002E16C0"/>
    <w:rsid w:val="002E5EB4"/>
    <w:rsid w:val="002F393A"/>
    <w:rsid w:val="002F6AC7"/>
    <w:rsid w:val="003007BA"/>
    <w:rsid w:val="003137FB"/>
    <w:rsid w:val="00320FC1"/>
    <w:rsid w:val="003256B5"/>
    <w:rsid w:val="0033719C"/>
    <w:rsid w:val="00340992"/>
    <w:rsid w:val="00340D3A"/>
    <w:rsid w:val="00343F2B"/>
    <w:rsid w:val="00344B3E"/>
    <w:rsid w:val="00344F28"/>
    <w:rsid w:val="00346F2F"/>
    <w:rsid w:val="00353687"/>
    <w:rsid w:val="00361777"/>
    <w:rsid w:val="00362BF7"/>
    <w:rsid w:val="00370255"/>
    <w:rsid w:val="003703CB"/>
    <w:rsid w:val="00376C57"/>
    <w:rsid w:val="00387DF4"/>
    <w:rsid w:val="00390041"/>
    <w:rsid w:val="00393BEF"/>
    <w:rsid w:val="0039409A"/>
    <w:rsid w:val="003A67A8"/>
    <w:rsid w:val="003A6D6C"/>
    <w:rsid w:val="003B15F0"/>
    <w:rsid w:val="003B3437"/>
    <w:rsid w:val="003B4643"/>
    <w:rsid w:val="003B558B"/>
    <w:rsid w:val="003C04C0"/>
    <w:rsid w:val="003C17EE"/>
    <w:rsid w:val="003C271F"/>
    <w:rsid w:val="003C3E40"/>
    <w:rsid w:val="003D1369"/>
    <w:rsid w:val="003D14D1"/>
    <w:rsid w:val="003D5819"/>
    <w:rsid w:val="003E623A"/>
    <w:rsid w:val="003F1257"/>
    <w:rsid w:val="00400F1E"/>
    <w:rsid w:val="00401CA0"/>
    <w:rsid w:val="00403194"/>
    <w:rsid w:val="0042131C"/>
    <w:rsid w:val="004250C3"/>
    <w:rsid w:val="00425BB8"/>
    <w:rsid w:val="00426502"/>
    <w:rsid w:val="00427048"/>
    <w:rsid w:val="004300BA"/>
    <w:rsid w:val="004336D9"/>
    <w:rsid w:val="004446E2"/>
    <w:rsid w:val="00445389"/>
    <w:rsid w:val="0045166D"/>
    <w:rsid w:val="00454CF1"/>
    <w:rsid w:val="00463A38"/>
    <w:rsid w:val="004660ED"/>
    <w:rsid w:val="004665A5"/>
    <w:rsid w:val="004678E2"/>
    <w:rsid w:val="00472048"/>
    <w:rsid w:val="00472F20"/>
    <w:rsid w:val="00473F9B"/>
    <w:rsid w:val="00476FB8"/>
    <w:rsid w:val="00484EC7"/>
    <w:rsid w:val="0049243C"/>
    <w:rsid w:val="0049248E"/>
    <w:rsid w:val="004A427A"/>
    <w:rsid w:val="004A6D1F"/>
    <w:rsid w:val="004B1EAD"/>
    <w:rsid w:val="004B2945"/>
    <w:rsid w:val="004C3E47"/>
    <w:rsid w:val="004D05FD"/>
    <w:rsid w:val="004D20F3"/>
    <w:rsid w:val="004D25E1"/>
    <w:rsid w:val="004D393A"/>
    <w:rsid w:val="004D426D"/>
    <w:rsid w:val="004E60E8"/>
    <w:rsid w:val="004E64DB"/>
    <w:rsid w:val="004E6C4A"/>
    <w:rsid w:val="004E7180"/>
    <w:rsid w:val="004E7265"/>
    <w:rsid w:val="004F1269"/>
    <w:rsid w:val="004F437F"/>
    <w:rsid w:val="004F612E"/>
    <w:rsid w:val="00500784"/>
    <w:rsid w:val="00510642"/>
    <w:rsid w:val="00512275"/>
    <w:rsid w:val="0051643F"/>
    <w:rsid w:val="005206F0"/>
    <w:rsid w:val="00520771"/>
    <w:rsid w:val="0052269D"/>
    <w:rsid w:val="0052679E"/>
    <w:rsid w:val="00527A99"/>
    <w:rsid w:val="00541F8D"/>
    <w:rsid w:val="00545797"/>
    <w:rsid w:val="00545EA1"/>
    <w:rsid w:val="00545FC9"/>
    <w:rsid w:val="00547497"/>
    <w:rsid w:val="00554C3B"/>
    <w:rsid w:val="0056229E"/>
    <w:rsid w:val="00563B37"/>
    <w:rsid w:val="005659D8"/>
    <w:rsid w:val="00570367"/>
    <w:rsid w:val="00572E16"/>
    <w:rsid w:val="005807D1"/>
    <w:rsid w:val="00584D11"/>
    <w:rsid w:val="00586449"/>
    <w:rsid w:val="00586760"/>
    <w:rsid w:val="00586F1B"/>
    <w:rsid w:val="005908C3"/>
    <w:rsid w:val="00594F17"/>
    <w:rsid w:val="005A0719"/>
    <w:rsid w:val="005A2CF5"/>
    <w:rsid w:val="005A63EC"/>
    <w:rsid w:val="005C2F6B"/>
    <w:rsid w:val="005C6358"/>
    <w:rsid w:val="005D4300"/>
    <w:rsid w:val="005D6640"/>
    <w:rsid w:val="005E01D4"/>
    <w:rsid w:val="005E1820"/>
    <w:rsid w:val="005E4C1B"/>
    <w:rsid w:val="005E4E07"/>
    <w:rsid w:val="005F0C9C"/>
    <w:rsid w:val="005F180E"/>
    <w:rsid w:val="005F2084"/>
    <w:rsid w:val="005F30B4"/>
    <w:rsid w:val="005F3DBD"/>
    <w:rsid w:val="005F44BD"/>
    <w:rsid w:val="005F5F0C"/>
    <w:rsid w:val="0060397D"/>
    <w:rsid w:val="006100A2"/>
    <w:rsid w:val="00611303"/>
    <w:rsid w:val="006118BF"/>
    <w:rsid w:val="006135CB"/>
    <w:rsid w:val="00616F2A"/>
    <w:rsid w:val="00622C4C"/>
    <w:rsid w:val="006236C8"/>
    <w:rsid w:val="006333D1"/>
    <w:rsid w:val="0064139D"/>
    <w:rsid w:val="00645045"/>
    <w:rsid w:val="006500F5"/>
    <w:rsid w:val="00650277"/>
    <w:rsid w:val="006524D7"/>
    <w:rsid w:val="00653AA2"/>
    <w:rsid w:val="006576E6"/>
    <w:rsid w:val="00660829"/>
    <w:rsid w:val="006656BB"/>
    <w:rsid w:val="006670FF"/>
    <w:rsid w:val="00670047"/>
    <w:rsid w:val="00670249"/>
    <w:rsid w:val="00671E70"/>
    <w:rsid w:val="00682B4A"/>
    <w:rsid w:val="0069141C"/>
    <w:rsid w:val="006A1986"/>
    <w:rsid w:val="006A1AFD"/>
    <w:rsid w:val="006A61FE"/>
    <w:rsid w:val="006C7D66"/>
    <w:rsid w:val="006D2736"/>
    <w:rsid w:val="006D4C79"/>
    <w:rsid w:val="006D5557"/>
    <w:rsid w:val="006E1F75"/>
    <w:rsid w:val="006E3561"/>
    <w:rsid w:val="006E6BBA"/>
    <w:rsid w:val="006F6E13"/>
    <w:rsid w:val="00703FB7"/>
    <w:rsid w:val="007062C5"/>
    <w:rsid w:val="00712C80"/>
    <w:rsid w:val="00713950"/>
    <w:rsid w:val="007223F4"/>
    <w:rsid w:val="007314FF"/>
    <w:rsid w:val="00732A40"/>
    <w:rsid w:val="00732D71"/>
    <w:rsid w:val="00733F92"/>
    <w:rsid w:val="00736071"/>
    <w:rsid w:val="00736143"/>
    <w:rsid w:val="00736C40"/>
    <w:rsid w:val="0074175A"/>
    <w:rsid w:val="00750CDC"/>
    <w:rsid w:val="00760313"/>
    <w:rsid w:val="00760DE9"/>
    <w:rsid w:val="00760F93"/>
    <w:rsid w:val="0076494F"/>
    <w:rsid w:val="007718A1"/>
    <w:rsid w:val="007720B0"/>
    <w:rsid w:val="00775580"/>
    <w:rsid w:val="00776DC0"/>
    <w:rsid w:val="007946AE"/>
    <w:rsid w:val="007A373C"/>
    <w:rsid w:val="007A74ED"/>
    <w:rsid w:val="007A79D9"/>
    <w:rsid w:val="007A7EBD"/>
    <w:rsid w:val="007B3E5C"/>
    <w:rsid w:val="007B7EFE"/>
    <w:rsid w:val="007C0688"/>
    <w:rsid w:val="007C2E4A"/>
    <w:rsid w:val="007C400D"/>
    <w:rsid w:val="007D422B"/>
    <w:rsid w:val="007E2824"/>
    <w:rsid w:val="007E285C"/>
    <w:rsid w:val="007E50B4"/>
    <w:rsid w:val="007F1341"/>
    <w:rsid w:val="00810032"/>
    <w:rsid w:val="008214AA"/>
    <w:rsid w:val="00821698"/>
    <w:rsid w:val="00821D98"/>
    <w:rsid w:val="00824F20"/>
    <w:rsid w:val="00833366"/>
    <w:rsid w:val="00833BAC"/>
    <w:rsid w:val="00842610"/>
    <w:rsid w:val="00845588"/>
    <w:rsid w:val="0085134E"/>
    <w:rsid w:val="0085256C"/>
    <w:rsid w:val="008545D4"/>
    <w:rsid w:val="00857CEF"/>
    <w:rsid w:val="008719EE"/>
    <w:rsid w:val="00871B13"/>
    <w:rsid w:val="00874F37"/>
    <w:rsid w:val="00876A5C"/>
    <w:rsid w:val="00876F34"/>
    <w:rsid w:val="008843AF"/>
    <w:rsid w:val="00884808"/>
    <w:rsid w:val="00885AFE"/>
    <w:rsid w:val="0089548C"/>
    <w:rsid w:val="008A1C3B"/>
    <w:rsid w:val="008A293F"/>
    <w:rsid w:val="008B07BD"/>
    <w:rsid w:val="008B2A96"/>
    <w:rsid w:val="008B46A9"/>
    <w:rsid w:val="008B4C3F"/>
    <w:rsid w:val="008D559C"/>
    <w:rsid w:val="008D6D59"/>
    <w:rsid w:val="008E1470"/>
    <w:rsid w:val="008E48D8"/>
    <w:rsid w:val="008E539B"/>
    <w:rsid w:val="008F04FE"/>
    <w:rsid w:val="008F0949"/>
    <w:rsid w:val="008F1CC7"/>
    <w:rsid w:val="008F3D66"/>
    <w:rsid w:val="00900594"/>
    <w:rsid w:val="0090069A"/>
    <w:rsid w:val="00913E3B"/>
    <w:rsid w:val="0091485F"/>
    <w:rsid w:val="009223AD"/>
    <w:rsid w:val="009239D6"/>
    <w:rsid w:val="00930F70"/>
    <w:rsid w:val="0093580E"/>
    <w:rsid w:val="00940066"/>
    <w:rsid w:val="00942EC7"/>
    <w:rsid w:val="009467F0"/>
    <w:rsid w:val="00947F95"/>
    <w:rsid w:val="00951DEF"/>
    <w:rsid w:val="00952017"/>
    <w:rsid w:val="00954F67"/>
    <w:rsid w:val="00965A69"/>
    <w:rsid w:val="009748DD"/>
    <w:rsid w:val="009760B5"/>
    <w:rsid w:val="00980020"/>
    <w:rsid w:val="0098138C"/>
    <w:rsid w:val="00982E5D"/>
    <w:rsid w:val="00991C13"/>
    <w:rsid w:val="009A13A8"/>
    <w:rsid w:val="009A3508"/>
    <w:rsid w:val="009B1846"/>
    <w:rsid w:val="009B445C"/>
    <w:rsid w:val="009B6F8F"/>
    <w:rsid w:val="009C2A6F"/>
    <w:rsid w:val="009C4340"/>
    <w:rsid w:val="009C60E3"/>
    <w:rsid w:val="009D08D3"/>
    <w:rsid w:val="009D314B"/>
    <w:rsid w:val="009D5A45"/>
    <w:rsid w:val="009E00C4"/>
    <w:rsid w:val="009E017D"/>
    <w:rsid w:val="009E220F"/>
    <w:rsid w:val="009E7B23"/>
    <w:rsid w:val="009F15FF"/>
    <w:rsid w:val="00A011F8"/>
    <w:rsid w:val="00A037DD"/>
    <w:rsid w:val="00A154A6"/>
    <w:rsid w:val="00A209BB"/>
    <w:rsid w:val="00A21F40"/>
    <w:rsid w:val="00A22E1C"/>
    <w:rsid w:val="00A23BE3"/>
    <w:rsid w:val="00A2689E"/>
    <w:rsid w:val="00A32D83"/>
    <w:rsid w:val="00A363C4"/>
    <w:rsid w:val="00A40200"/>
    <w:rsid w:val="00A44711"/>
    <w:rsid w:val="00A510EE"/>
    <w:rsid w:val="00A53490"/>
    <w:rsid w:val="00A56601"/>
    <w:rsid w:val="00A572C3"/>
    <w:rsid w:val="00A57CD6"/>
    <w:rsid w:val="00A60004"/>
    <w:rsid w:val="00A6173A"/>
    <w:rsid w:val="00A65F9C"/>
    <w:rsid w:val="00A71082"/>
    <w:rsid w:val="00A73A8A"/>
    <w:rsid w:val="00A8596F"/>
    <w:rsid w:val="00A906C3"/>
    <w:rsid w:val="00A95CF3"/>
    <w:rsid w:val="00AB3636"/>
    <w:rsid w:val="00AB5576"/>
    <w:rsid w:val="00AD3D29"/>
    <w:rsid w:val="00AE0917"/>
    <w:rsid w:val="00AE353F"/>
    <w:rsid w:val="00AE68C6"/>
    <w:rsid w:val="00AE7AFB"/>
    <w:rsid w:val="00AF404A"/>
    <w:rsid w:val="00AF6D51"/>
    <w:rsid w:val="00B10209"/>
    <w:rsid w:val="00B105A2"/>
    <w:rsid w:val="00B107D1"/>
    <w:rsid w:val="00B10835"/>
    <w:rsid w:val="00B21D2D"/>
    <w:rsid w:val="00B34CEF"/>
    <w:rsid w:val="00B4260D"/>
    <w:rsid w:val="00B426E1"/>
    <w:rsid w:val="00B4365A"/>
    <w:rsid w:val="00B4401E"/>
    <w:rsid w:val="00B45824"/>
    <w:rsid w:val="00B45E3A"/>
    <w:rsid w:val="00B46352"/>
    <w:rsid w:val="00B52C02"/>
    <w:rsid w:val="00B53189"/>
    <w:rsid w:val="00B57008"/>
    <w:rsid w:val="00B747B7"/>
    <w:rsid w:val="00B85DDD"/>
    <w:rsid w:val="00B9021E"/>
    <w:rsid w:val="00B967A6"/>
    <w:rsid w:val="00BB5079"/>
    <w:rsid w:val="00BB58B3"/>
    <w:rsid w:val="00BB5E2A"/>
    <w:rsid w:val="00BB6CC4"/>
    <w:rsid w:val="00BD2500"/>
    <w:rsid w:val="00BE3CB2"/>
    <w:rsid w:val="00BF3B0E"/>
    <w:rsid w:val="00BF6D7A"/>
    <w:rsid w:val="00BF7088"/>
    <w:rsid w:val="00C052FF"/>
    <w:rsid w:val="00C10E17"/>
    <w:rsid w:val="00C11A6E"/>
    <w:rsid w:val="00C213B4"/>
    <w:rsid w:val="00C21C0C"/>
    <w:rsid w:val="00C2697A"/>
    <w:rsid w:val="00C31B6B"/>
    <w:rsid w:val="00C3416B"/>
    <w:rsid w:val="00C35C70"/>
    <w:rsid w:val="00C36149"/>
    <w:rsid w:val="00C3782A"/>
    <w:rsid w:val="00C40738"/>
    <w:rsid w:val="00C40DED"/>
    <w:rsid w:val="00C4423F"/>
    <w:rsid w:val="00C47274"/>
    <w:rsid w:val="00C575C8"/>
    <w:rsid w:val="00C62B07"/>
    <w:rsid w:val="00C7179F"/>
    <w:rsid w:val="00C72983"/>
    <w:rsid w:val="00C72F97"/>
    <w:rsid w:val="00C832EB"/>
    <w:rsid w:val="00C843F7"/>
    <w:rsid w:val="00C85B3A"/>
    <w:rsid w:val="00C95E06"/>
    <w:rsid w:val="00C962CE"/>
    <w:rsid w:val="00CA6C90"/>
    <w:rsid w:val="00CB0825"/>
    <w:rsid w:val="00CB7905"/>
    <w:rsid w:val="00CC043B"/>
    <w:rsid w:val="00CC3200"/>
    <w:rsid w:val="00CC4A2D"/>
    <w:rsid w:val="00CD0766"/>
    <w:rsid w:val="00CD0E1D"/>
    <w:rsid w:val="00CD6015"/>
    <w:rsid w:val="00CD71B0"/>
    <w:rsid w:val="00CE28B6"/>
    <w:rsid w:val="00CE74F9"/>
    <w:rsid w:val="00CF582D"/>
    <w:rsid w:val="00CF7260"/>
    <w:rsid w:val="00D03613"/>
    <w:rsid w:val="00D076CB"/>
    <w:rsid w:val="00D12146"/>
    <w:rsid w:val="00D133CE"/>
    <w:rsid w:val="00D26C37"/>
    <w:rsid w:val="00D30DAB"/>
    <w:rsid w:val="00D32F75"/>
    <w:rsid w:val="00D36A28"/>
    <w:rsid w:val="00D4101E"/>
    <w:rsid w:val="00D45AF5"/>
    <w:rsid w:val="00D543E6"/>
    <w:rsid w:val="00D63959"/>
    <w:rsid w:val="00D70B62"/>
    <w:rsid w:val="00D8123B"/>
    <w:rsid w:val="00D815F2"/>
    <w:rsid w:val="00D8579F"/>
    <w:rsid w:val="00D91470"/>
    <w:rsid w:val="00D951F6"/>
    <w:rsid w:val="00DA42D8"/>
    <w:rsid w:val="00DA50CE"/>
    <w:rsid w:val="00DB2737"/>
    <w:rsid w:val="00DB27B6"/>
    <w:rsid w:val="00DB7CD8"/>
    <w:rsid w:val="00DC5C39"/>
    <w:rsid w:val="00DD4420"/>
    <w:rsid w:val="00DD6852"/>
    <w:rsid w:val="00DE1611"/>
    <w:rsid w:val="00DE347C"/>
    <w:rsid w:val="00DE377F"/>
    <w:rsid w:val="00DE70E2"/>
    <w:rsid w:val="00DF7E45"/>
    <w:rsid w:val="00E020C7"/>
    <w:rsid w:val="00E04D19"/>
    <w:rsid w:val="00E12645"/>
    <w:rsid w:val="00E17B5C"/>
    <w:rsid w:val="00E203CC"/>
    <w:rsid w:val="00E2223B"/>
    <w:rsid w:val="00E223D5"/>
    <w:rsid w:val="00E26D11"/>
    <w:rsid w:val="00E429E3"/>
    <w:rsid w:val="00E43825"/>
    <w:rsid w:val="00E4578F"/>
    <w:rsid w:val="00E46CF3"/>
    <w:rsid w:val="00E51068"/>
    <w:rsid w:val="00E5292F"/>
    <w:rsid w:val="00E61EC1"/>
    <w:rsid w:val="00E644CD"/>
    <w:rsid w:val="00E70BF1"/>
    <w:rsid w:val="00E71849"/>
    <w:rsid w:val="00E71B09"/>
    <w:rsid w:val="00E71EA0"/>
    <w:rsid w:val="00E731AD"/>
    <w:rsid w:val="00E81D2C"/>
    <w:rsid w:val="00E9010D"/>
    <w:rsid w:val="00E9632B"/>
    <w:rsid w:val="00E96371"/>
    <w:rsid w:val="00E97860"/>
    <w:rsid w:val="00E97C2B"/>
    <w:rsid w:val="00EA6606"/>
    <w:rsid w:val="00EB2874"/>
    <w:rsid w:val="00EB336E"/>
    <w:rsid w:val="00ED1CFC"/>
    <w:rsid w:val="00ED7543"/>
    <w:rsid w:val="00EE0CBC"/>
    <w:rsid w:val="00EE1815"/>
    <w:rsid w:val="00EE27A6"/>
    <w:rsid w:val="00EE5E14"/>
    <w:rsid w:val="00EF1965"/>
    <w:rsid w:val="00EF1C07"/>
    <w:rsid w:val="00F00752"/>
    <w:rsid w:val="00F01634"/>
    <w:rsid w:val="00F05422"/>
    <w:rsid w:val="00F06426"/>
    <w:rsid w:val="00F13119"/>
    <w:rsid w:val="00F16222"/>
    <w:rsid w:val="00F22D59"/>
    <w:rsid w:val="00F2502D"/>
    <w:rsid w:val="00F26DE7"/>
    <w:rsid w:val="00F272A7"/>
    <w:rsid w:val="00F3154D"/>
    <w:rsid w:val="00F325E2"/>
    <w:rsid w:val="00F34F64"/>
    <w:rsid w:val="00F36D0F"/>
    <w:rsid w:val="00F36EBC"/>
    <w:rsid w:val="00F37819"/>
    <w:rsid w:val="00F50F30"/>
    <w:rsid w:val="00F514ED"/>
    <w:rsid w:val="00F7424D"/>
    <w:rsid w:val="00F74B96"/>
    <w:rsid w:val="00F96331"/>
    <w:rsid w:val="00FA31EC"/>
    <w:rsid w:val="00FB19F1"/>
    <w:rsid w:val="00FB2450"/>
    <w:rsid w:val="00FB2569"/>
    <w:rsid w:val="00FB28C1"/>
    <w:rsid w:val="00FC1966"/>
    <w:rsid w:val="00FC7CD5"/>
    <w:rsid w:val="00FD58CF"/>
    <w:rsid w:val="00FD6ABB"/>
    <w:rsid w:val="00FD753F"/>
    <w:rsid w:val="00FF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3BB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99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99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styleId="Hypertextovprepojenie">
    <w:name w:val="Hyperlink"/>
    <w:basedOn w:val="Predvolenpsmoodseku"/>
    <w:uiPriority w:val="99"/>
    <w:unhideWhenUsed/>
    <w:rsid w:val="009A13A8"/>
    <w:rPr>
      <w:color w:val="0000FF" w:themeColor="hyperlink"/>
      <w:u w:val="single"/>
    </w:rPr>
  </w:style>
  <w:style w:type="table" w:customStyle="1" w:styleId="Mriekatabuky2">
    <w:name w:val="Mriežka tabuľky2"/>
    <w:basedOn w:val="Normlnatabuka"/>
    <w:next w:val="Mriekatabuky"/>
    <w:uiPriority w:val="59"/>
    <w:rsid w:val="002C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99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99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styleId="Hypertextovprepojenie">
    <w:name w:val="Hyperlink"/>
    <w:basedOn w:val="Predvolenpsmoodseku"/>
    <w:uiPriority w:val="99"/>
    <w:unhideWhenUsed/>
    <w:rsid w:val="009A13A8"/>
    <w:rPr>
      <w:color w:val="0000FF" w:themeColor="hyperlink"/>
      <w:u w:val="single"/>
    </w:rPr>
  </w:style>
  <w:style w:type="table" w:customStyle="1" w:styleId="Mriekatabuky2">
    <w:name w:val="Mriežka tabuľky2"/>
    <w:basedOn w:val="Normlnatabuka"/>
    <w:next w:val="Mriekatabuky"/>
    <w:uiPriority w:val="59"/>
    <w:rsid w:val="002C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atarina.ruzickova@siea.gov.s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itenergiou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0B0F0-8530-421C-86AA-22A6E243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2322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 Jambor</dc:creator>
  <cp:lastModifiedBy>Rolínová Jana</cp:lastModifiedBy>
  <cp:revision>3</cp:revision>
  <cp:lastPrinted>2015-03-24T10:48:00Z</cp:lastPrinted>
  <dcterms:created xsi:type="dcterms:W3CDTF">2015-04-09T05:52:00Z</dcterms:created>
  <dcterms:modified xsi:type="dcterms:W3CDTF">2015-04-14T14:33:00Z</dcterms:modified>
</cp:coreProperties>
</file>