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E149" w14:textId="21055151" w:rsidR="00BE21B5" w:rsidRPr="00BE21B5" w:rsidRDefault="00AC3338" w:rsidP="00AC33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bCs/>
          <w:szCs w:val="19"/>
        </w:rPr>
        <w:t>P</w:t>
      </w:r>
      <w:r w:rsidR="00DD41B5">
        <w:rPr>
          <w:rFonts w:asciiTheme="minorHAnsi" w:hAnsiTheme="minorHAnsi" w:cstheme="minorHAnsi"/>
          <w:b/>
          <w:bCs/>
          <w:szCs w:val="19"/>
        </w:rPr>
        <w:t>ríloha</w:t>
      </w:r>
      <w:proofErr w:type="spellEnd"/>
      <w:r w:rsidR="00DD41B5">
        <w:rPr>
          <w:rFonts w:asciiTheme="minorHAnsi" w:hAnsiTheme="minorHAnsi" w:cstheme="minorHAnsi"/>
          <w:b/>
          <w:bCs/>
          <w:szCs w:val="19"/>
        </w:rPr>
        <w:t xml:space="preserve"> č. 9</w:t>
      </w:r>
    </w:p>
    <w:p w14:paraId="5C69B2C4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projekte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strany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§ 46 </w:t>
      </w:r>
      <w:proofErr w:type="spellStart"/>
      <w:r w:rsidRPr="00BE21B5">
        <w:rPr>
          <w:rFonts w:asciiTheme="minorHAnsi" w:hAnsiTheme="minorHAnsi" w:cstheme="minorHAnsi"/>
          <w:szCs w:val="19"/>
        </w:rPr>
        <w:t>zákona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č. 292/2014 Z. z. o </w:t>
      </w:r>
      <w:proofErr w:type="spellStart"/>
      <w:r w:rsidRPr="00BE21B5">
        <w:rPr>
          <w:rFonts w:asciiTheme="minorHAnsi" w:hAnsiTheme="minorHAnsi" w:cstheme="minorHAnsi"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poskytovanom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BE21B5">
        <w:rPr>
          <w:rFonts w:asciiTheme="minorHAnsi" w:hAnsiTheme="minorHAnsi" w:cstheme="minorHAnsi"/>
          <w:szCs w:val="19"/>
        </w:rPr>
        <w:t>európskych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štrukturálnych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BE21B5">
        <w:rPr>
          <w:rFonts w:asciiTheme="minorHAnsi" w:hAnsiTheme="minorHAnsi" w:cstheme="minorHAnsi"/>
          <w:szCs w:val="19"/>
        </w:rPr>
        <w:t>a</w:t>
      </w:r>
      <w:proofErr w:type="gramEnd"/>
      <w:r w:rsidRPr="00BE21B5">
        <w:rPr>
          <w:rFonts w:asciiTheme="minorHAnsi" w:hAnsiTheme="minorHAnsi" w:cstheme="minorHAnsi"/>
          <w:szCs w:val="19"/>
        </w:rPr>
        <w:t> </w:t>
      </w:r>
      <w:proofErr w:type="spellStart"/>
      <w:r w:rsidRPr="00BE21B5">
        <w:rPr>
          <w:rFonts w:asciiTheme="minorHAnsi" w:hAnsiTheme="minorHAnsi" w:cstheme="minorHAnsi"/>
          <w:szCs w:val="19"/>
        </w:rPr>
        <w:t>investičných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fondov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BE21B5">
        <w:rPr>
          <w:rFonts w:asciiTheme="minorHAnsi" w:hAnsiTheme="minorHAnsi" w:cstheme="minorHAnsi"/>
          <w:szCs w:val="19"/>
        </w:rPr>
        <w:t>zmene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doplnení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niektorých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zákonov</w:t>
      </w:r>
      <w:proofErr w:type="spellEnd"/>
      <w:r w:rsidRPr="00BE21B5">
        <w:rPr>
          <w:rFonts w:asciiTheme="minorHAnsi" w:hAnsiTheme="minorHAnsi" w:cstheme="minorHAnsi"/>
          <w:szCs w:val="19"/>
        </w:rPr>
        <w:t>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prijímateľa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danom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projekte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50960346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prijímateľa</w:t>
      </w:r>
      <w:proofErr w:type="spellEnd"/>
      <w:r>
        <w:rPr>
          <w:rFonts w:asciiTheme="minorHAnsi" w:hAnsiTheme="minorHAnsi" w:cstheme="minorHAnsi"/>
          <w:szCs w:val="19"/>
        </w:rPr>
        <w:t xml:space="preserve">: </w:t>
      </w:r>
      <w:r w:rsidR="00106D82" w:rsidRPr="00BE21B5">
        <w:rPr>
          <w:rFonts w:asciiTheme="minorHAnsi" w:hAnsiTheme="minorHAnsi" w:cstheme="minorHAnsi"/>
          <w:szCs w:val="19"/>
        </w:rPr>
        <w:t>......................................................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Dátum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BE21B5">
        <w:rPr>
          <w:rFonts w:asciiTheme="minorHAnsi" w:hAnsiTheme="minorHAnsi" w:cstheme="minorHAnsi"/>
          <w:szCs w:val="19"/>
        </w:rPr>
        <w:t>miesto</w:t>
      </w:r>
      <w:proofErr w:type="spellEnd"/>
      <w:proofErr w:type="gramStart"/>
      <w:r w:rsidRPr="00BE21B5">
        <w:rPr>
          <w:rFonts w:asciiTheme="minorHAnsi" w:hAnsiTheme="minorHAnsi" w:cstheme="minorHAnsi"/>
          <w:szCs w:val="19"/>
        </w:rPr>
        <w:t>:</w:t>
      </w:r>
      <w:r w:rsidRPr="00BE21B5">
        <w:rPr>
          <w:rFonts w:asciiTheme="minorHAnsi" w:hAnsiTheme="minorHAnsi" w:cstheme="minorHAnsi"/>
          <w:szCs w:val="19"/>
        </w:rPr>
        <w:tab/>
        <w:t>......................................................</w:t>
      </w:r>
      <w:proofErr w:type="gramEnd"/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91890" w14:textId="77777777" w:rsidR="00B3064D" w:rsidRDefault="00B3064D">
      <w:r>
        <w:separator/>
      </w:r>
    </w:p>
    <w:p w14:paraId="486033B7" w14:textId="77777777" w:rsidR="00B3064D" w:rsidRDefault="00B3064D"/>
  </w:endnote>
  <w:endnote w:type="continuationSeparator" w:id="0">
    <w:p w14:paraId="575F2AB4" w14:textId="77777777" w:rsidR="00B3064D" w:rsidRDefault="00B3064D">
      <w:r>
        <w:continuationSeparator/>
      </w:r>
    </w:p>
    <w:p w14:paraId="78F6270F" w14:textId="77777777" w:rsidR="00B3064D" w:rsidRDefault="00B3064D"/>
  </w:endnote>
  <w:endnote w:type="continuationNotice" w:id="1">
    <w:p w14:paraId="0033392E" w14:textId="77777777" w:rsidR="00B3064D" w:rsidRDefault="00B30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E61B5" w14:textId="77777777" w:rsidR="00001224" w:rsidRDefault="000012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4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5FF85" w14:textId="77777777" w:rsidR="00001224" w:rsidRDefault="000012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138A9" w14:textId="77777777" w:rsidR="00B3064D" w:rsidRDefault="00B3064D">
      <w:r>
        <w:separator/>
      </w:r>
    </w:p>
    <w:p w14:paraId="0EF79499" w14:textId="77777777" w:rsidR="00B3064D" w:rsidRDefault="00B3064D"/>
  </w:footnote>
  <w:footnote w:type="continuationSeparator" w:id="0">
    <w:p w14:paraId="35B04092" w14:textId="77777777" w:rsidR="00B3064D" w:rsidRDefault="00B3064D">
      <w:r>
        <w:continuationSeparator/>
      </w:r>
    </w:p>
    <w:p w14:paraId="45A9EF57" w14:textId="77777777" w:rsidR="00B3064D" w:rsidRDefault="00B3064D"/>
  </w:footnote>
  <w:footnote w:type="continuationNotice" w:id="1">
    <w:p w14:paraId="4305F15F" w14:textId="77777777" w:rsidR="00B3064D" w:rsidRDefault="00B306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A01CF" w14:textId="77777777" w:rsidR="00001224" w:rsidRDefault="0000122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068429A" w:rsidR="006D04C5" w:rsidRPr="00624DC2" w:rsidRDefault="00001224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7223816" wp14:editId="56A1A8FC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590E6" w14:textId="77777777" w:rsidR="00001224" w:rsidRDefault="0000122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224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F90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64D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42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09BAAC4E-E276-4444-B916-5E788BEA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73AE71-7E3F-4707-9A1C-BCE2CCF9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2015-08-18T10:31:00Z</dcterms:created>
  <dcterms:modified xsi:type="dcterms:W3CDTF">2015-08-18T10:31:00Z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