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D55E7" w14:textId="34EFD79B" w:rsidR="00FF5CFA" w:rsidRPr="00FF5CFA" w:rsidRDefault="00174F58" w:rsidP="00174F58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Cs w:val="19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Start w:id="186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r>
        <w:rPr>
          <w:rFonts w:asciiTheme="minorHAnsi" w:hAnsiTheme="minorHAnsi" w:cstheme="minorHAnsi"/>
          <w:b/>
          <w:szCs w:val="19"/>
        </w:rPr>
        <w:t>P</w:t>
      </w:r>
      <w:r w:rsidR="001776D3">
        <w:rPr>
          <w:rFonts w:asciiTheme="minorHAnsi" w:hAnsiTheme="minorHAnsi" w:cstheme="minorHAnsi"/>
          <w:b/>
          <w:szCs w:val="19"/>
        </w:rPr>
        <w:t xml:space="preserve">ríloha č. </w:t>
      </w:r>
      <w:r w:rsidR="00057A35">
        <w:rPr>
          <w:rFonts w:asciiTheme="minorHAnsi" w:hAnsiTheme="minorHAnsi" w:cstheme="minorHAnsi"/>
          <w:b/>
          <w:szCs w:val="19"/>
        </w:rPr>
        <w:t>12</w:t>
      </w:r>
    </w:p>
    <w:p w14:paraId="333B4AF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04B8EF2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1A63518A" w14:textId="70579860" w:rsidR="00523A3D" w:rsidRDefault="002316E3" w:rsidP="002316E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  <w:r w:rsidRPr="002316E3">
        <w:rPr>
          <w:rFonts w:asciiTheme="minorHAnsi" w:hAnsiTheme="minorHAnsi" w:cstheme="minorHAnsi"/>
          <w:b/>
          <w:szCs w:val="19"/>
        </w:rPr>
        <w:t>Rizikové indikátory k možným porušeniam zákona o ochrane hospodárskej súťaže</w:t>
      </w:r>
      <w:r>
        <w:rPr>
          <w:rStyle w:val="Odkaznapoznmkupodiarou"/>
          <w:rFonts w:cstheme="minorHAnsi"/>
          <w:b/>
          <w:szCs w:val="19"/>
        </w:rPr>
        <w:footnoteReference w:id="2"/>
      </w:r>
    </w:p>
    <w:p w14:paraId="214A3BB4" w14:textId="77777777" w:rsidR="002316E3" w:rsidRDefault="002316E3" w:rsidP="002316E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789B451B" w14:textId="77777777" w:rsidR="002316E3" w:rsidRPr="002316E3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 w:rsidRPr="002316E3">
        <w:rPr>
          <w:rFonts w:asciiTheme="minorHAnsi" w:hAnsiTheme="minorHAnsi" w:cstheme="minorHAnsi"/>
          <w:szCs w:val="19"/>
        </w:rPr>
        <w:t xml:space="preserve">Rizikové indikátory, ktoré sú ďalej uvedené, neznamenajú sami o sebe dôkaz o porušení hospodárskej súťaže, alebo porušenia ZVO. Sú však situáciami, ktoré zvyšujú pravdepodobnosť, že v rámci daného zadávania zákazky mohlo dôjsť k protiprávnemu konaniu. Pokiaľ určitý rizikový indikátor sám o sebe znamená porušenie ZVO, nepotvrdenie skutočnosti o porušení hospodárskej súťaže nemá vplyv na konštatovanie o porušení ZVO. Tento zoznam nie je vyčerpávajúcim súhrnom všetkých rizikových situácií. </w:t>
      </w:r>
    </w:p>
    <w:p w14:paraId="5C9C5A28" w14:textId="77777777" w:rsidR="002316E3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77B721BA" w14:textId="77777777" w:rsidR="002316E3" w:rsidRPr="002316E3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 w:rsidRPr="002316E3">
        <w:rPr>
          <w:rFonts w:asciiTheme="minorHAnsi" w:hAnsiTheme="minorHAnsi" w:cstheme="minorHAnsi"/>
          <w:szCs w:val="19"/>
        </w:rPr>
        <w:t xml:space="preserve">Odporúčame prijímateľovi resp. osobám, ktoré poveril výkonom VO a tiež členom komisie oboznámiť sa s rizikovými indikátormi a ďalšie činnosti  vykonávať s ohľadom na dostatočné využitie tejto vedomosti. </w:t>
      </w:r>
    </w:p>
    <w:p w14:paraId="753B9515" w14:textId="77777777" w:rsidR="002316E3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37E11C04" w14:textId="4795E5C4" w:rsidR="002316E3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 w:rsidRPr="002316E3">
        <w:rPr>
          <w:rFonts w:asciiTheme="minorHAnsi" w:hAnsiTheme="minorHAnsi" w:cstheme="minorHAnsi"/>
          <w:szCs w:val="19"/>
        </w:rPr>
        <w:t>Upozorňujeme prijímateľa, že potvrdenie porušenia zákona o ochrane hospodárskej súťaže môže predstavovať prekážku v ďalšom spolufinancovaní predmetného verejného obstarávania zo strany poskytovateľa.</w:t>
      </w:r>
    </w:p>
    <w:p w14:paraId="09D33DB2" w14:textId="77777777" w:rsidR="002316E3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07F27AE8" w14:textId="1430DAD0" w:rsidR="002316E3" w:rsidRDefault="0013284C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t>Zoznam rizikových indikátorov:</w:t>
      </w:r>
    </w:p>
    <w:p w14:paraId="1EAAA962" w14:textId="77777777" w:rsidR="0013284C" w:rsidRDefault="0013284C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tbl>
      <w:tblPr>
        <w:tblStyle w:val="Deloittetable1"/>
        <w:tblW w:w="0" w:type="auto"/>
        <w:tblBorders>
          <w:left w:val="single" w:sz="4" w:space="0" w:color="92D400"/>
          <w:right w:val="single" w:sz="4" w:space="0" w:color="92D400"/>
          <w:insideV w:val="single" w:sz="4" w:space="0" w:color="92D400"/>
        </w:tblBorders>
        <w:tblLook w:val="04A0" w:firstRow="1" w:lastRow="0" w:firstColumn="1" w:lastColumn="0" w:noHBand="0" w:noVBand="1"/>
      </w:tblPr>
      <w:tblGrid>
        <w:gridCol w:w="454"/>
        <w:gridCol w:w="4394"/>
        <w:gridCol w:w="4278"/>
      </w:tblGrid>
      <w:tr w:rsidR="0013284C" w14:paraId="6FEC8631" w14:textId="77777777" w:rsidTr="001328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270ABE72" w14:textId="4906C040" w:rsidR="0013284C" w:rsidRDefault="0013284C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P.č.</w:t>
            </w:r>
          </w:p>
        </w:tc>
        <w:tc>
          <w:tcPr>
            <w:tcW w:w="4394" w:type="dxa"/>
            <w:vAlign w:val="center"/>
          </w:tcPr>
          <w:p w14:paraId="6238E07F" w14:textId="2DD3DAF1" w:rsidR="0013284C" w:rsidRDefault="0013284C" w:rsidP="0013284C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r w:rsidRPr="0013284C">
              <w:rPr>
                <w:rFonts w:asciiTheme="minorHAnsi" w:hAnsiTheme="minorHAnsi" w:cstheme="minorHAnsi"/>
                <w:szCs w:val="19"/>
              </w:rPr>
              <w:t>Názov rizikového indikátora</w:t>
            </w:r>
          </w:p>
        </w:tc>
        <w:tc>
          <w:tcPr>
            <w:tcW w:w="4278" w:type="dxa"/>
            <w:vAlign w:val="center"/>
          </w:tcPr>
          <w:p w14:paraId="3B09541C" w14:textId="7743A97B" w:rsidR="0013284C" w:rsidRDefault="0013284C" w:rsidP="0013284C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r w:rsidRPr="0013284C">
              <w:rPr>
                <w:rFonts w:asciiTheme="minorHAnsi" w:hAnsiTheme="minorHAnsi" w:cstheme="minorHAnsi"/>
                <w:szCs w:val="19"/>
              </w:rPr>
              <w:t>Popis rizikového indikátora</w:t>
            </w:r>
          </w:p>
        </w:tc>
      </w:tr>
      <w:tr w:rsidR="0013284C" w14:paraId="023F4ADA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5FE505B4" w14:textId="1BB242BC" w:rsidR="0013284C" w:rsidRDefault="0013284C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1.</w:t>
            </w:r>
          </w:p>
        </w:tc>
        <w:tc>
          <w:tcPr>
            <w:tcW w:w="4394" w:type="dxa"/>
            <w:vAlign w:val="center"/>
          </w:tcPr>
          <w:p w14:paraId="7018A6A0" w14:textId="3B91425B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Rotácia úspešných uchádzačov podľa regiónu, typu služby, tovaru alebo práce</w:t>
            </w:r>
          </w:p>
        </w:tc>
        <w:tc>
          <w:tcPr>
            <w:tcW w:w="4278" w:type="dxa"/>
            <w:vAlign w:val="center"/>
          </w:tcPr>
          <w:p w14:paraId="7CBD38F7" w14:textId="48089193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Zo skupiny uchádzačov podávajúcich ponuky, ktorej zloženie je pri viacerých súťažiach takmer rovnaké, je ako úspešný vyhodnotený vždy iný uchádzač, pričom úspešnosť je možné odvodiť od záujmu realizovať zákazku v určitom regióne, alebo v rámci určitého typu služby, tovaru  alebo práce a pod.</w:t>
            </w:r>
          </w:p>
        </w:tc>
      </w:tr>
      <w:tr w:rsidR="0013284C" w14:paraId="70EA7E2F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51274F0E" w14:textId="20B6F9EB" w:rsidR="0013284C" w:rsidRDefault="0013284C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2.</w:t>
            </w:r>
          </w:p>
        </w:tc>
        <w:tc>
          <w:tcPr>
            <w:tcW w:w="4394" w:type="dxa"/>
            <w:vAlign w:val="center"/>
          </w:tcPr>
          <w:p w14:paraId="6C10BF53" w14:textId="5958DBDB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Neúspešný uchádzač je zazmluvnený úspešným uchádzačom ako subdodávateľ</w:t>
            </w:r>
          </w:p>
        </w:tc>
        <w:tc>
          <w:tcPr>
            <w:tcW w:w="4278" w:type="dxa"/>
            <w:vAlign w:val="center"/>
          </w:tcPr>
          <w:p w14:paraId="5988D1EE" w14:textId="08AA8BA4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Pri kontrole RO zistí skutočnosť, že s uchádzačom, ktorý bol v súťaži vyhodnotený ako neúspešný, uzavrel úspešný uchádzač v rámci plnenia predmetnej zákazky dodávateľskú zmluvu.</w:t>
            </w:r>
          </w:p>
        </w:tc>
      </w:tr>
      <w:tr w:rsidR="0013284C" w14:paraId="7C1130AD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F7D266" w14:textId="269E7B1F" w:rsidR="0013284C" w:rsidRDefault="0013284C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3.</w:t>
            </w:r>
          </w:p>
        </w:tc>
        <w:tc>
          <w:tcPr>
            <w:tcW w:w="4394" w:type="dxa"/>
            <w:vAlign w:val="center"/>
          </w:tcPr>
          <w:p w14:paraId="344F80AD" w14:textId="753DCB4E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Medzi uchádzačmi je majetkové alebo osobné prepojenie</w:t>
            </w:r>
          </w:p>
        </w:tc>
        <w:tc>
          <w:tcPr>
            <w:tcW w:w="4278" w:type="dxa"/>
            <w:vAlign w:val="center"/>
          </w:tcPr>
          <w:p w14:paraId="69083CCB" w14:textId="11BBCD66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Medzi úspešným uchádzačom a iným uchádzačom je majetkové alebo osobné prepojenie, napr. štatutár úspešného uchádzača a štatutár neúspešného uchádzača sú spoločne štatutármi aj v inom subjekte, ktorý mohol alebo aj nemusel predložiť ponuku.</w:t>
            </w:r>
          </w:p>
        </w:tc>
      </w:tr>
      <w:tr w:rsidR="0013284C" w14:paraId="031A9030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3A85637F" w14:textId="28E62A6E" w:rsidR="0013284C" w:rsidRDefault="0013284C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4.</w:t>
            </w:r>
          </w:p>
        </w:tc>
        <w:tc>
          <w:tcPr>
            <w:tcW w:w="4394" w:type="dxa"/>
            <w:vAlign w:val="center"/>
          </w:tcPr>
          <w:p w14:paraId="2A46C259" w14:textId="6647F0A6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Predloženie tieňovej („krycej“) ponuky</w:t>
            </w:r>
          </w:p>
        </w:tc>
        <w:tc>
          <w:tcPr>
            <w:tcW w:w="4278" w:type="dxa"/>
            <w:vAlign w:val="center"/>
          </w:tcPr>
          <w:p w14:paraId="779AA78C" w14:textId="6CC38C15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Ponuky predložili aj uchádzači, ktorí nie sú zjavne kvalifikovaní resp. ich ponuka nespĺňa základné požiadavky určené verejným obstarávateľom.</w:t>
            </w:r>
          </w:p>
        </w:tc>
      </w:tr>
      <w:tr w:rsidR="0013284C" w14:paraId="232F7284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2D1A2B53" w14:textId="20F69375" w:rsidR="0013284C" w:rsidRDefault="0013284C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5.</w:t>
            </w:r>
          </w:p>
        </w:tc>
        <w:tc>
          <w:tcPr>
            <w:tcW w:w="4394" w:type="dxa"/>
            <w:vAlign w:val="center"/>
          </w:tcPr>
          <w:p w14:paraId="5FFCD73C" w14:textId="31DB2444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Nízky počet ponúk/žiadostí o účasť</w:t>
            </w:r>
          </w:p>
        </w:tc>
        <w:tc>
          <w:tcPr>
            <w:tcW w:w="4278" w:type="dxa"/>
            <w:vAlign w:val="center"/>
          </w:tcPr>
          <w:p w14:paraId="01D9FF9A" w14:textId="0706C3C4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V rámci súťaže bol predložený nízky počet ponúk alebo žiadostí o účasť (1 až 2).</w:t>
            </w:r>
          </w:p>
        </w:tc>
      </w:tr>
      <w:tr w:rsidR="0013284C" w14:paraId="1BA77D3B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48F4F0" w14:textId="2E83ACA6" w:rsidR="0013284C" w:rsidRDefault="0013284C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6.</w:t>
            </w:r>
          </w:p>
        </w:tc>
        <w:tc>
          <w:tcPr>
            <w:tcW w:w="4394" w:type="dxa"/>
            <w:vAlign w:val="center"/>
          </w:tcPr>
          <w:p w14:paraId="7FE99ADD" w14:textId="0942F765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Podozrivé schémy v stanovovaní cien</w:t>
            </w:r>
          </w:p>
        </w:tc>
        <w:tc>
          <w:tcPr>
            <w:tcW w:w="4278" w:type="dxa"/>
            <w:vAlign w:val="center"/>
          </w:tcPr>
          <w:p w14:paraId="1465DDDE" w14:textId="0CA0777F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ceny predložené uchádzačmi sa oproti úspešnej ponuke zvyšujú o pravidelný % prírastok ,</w:t>
            </w:r>
          </w:p>
          <w:p w14:paraId="3DE8D093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22FD4493" w14:textId="318E5F3F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na stanovenie ceny sú pri viacerých uchádzačoch použité rovnaké kalkulácie,</w:t>
            </w:r>
          </w:p>
          <w:p w14:paraId="564A1192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693C7458" w14:textId="321477F0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hodnoty všetkých predložených ponúk sú v porovnaní s predpokladanou hodnotou zákazky buď nad touto hodnotou, alebo tesne pod ňou,</w:t>
            </w:r>
          </w:p>
          <w:p w14:paraId="74801296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4F4855F8" w14:textId="10D91ED2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výsledná suma víťaznej ponuky je neprimerane </w:t>
            </w:r>
            <w:r w:rsidRPr="0013284C">
              <w:rPr>
                <w:rFonts w:asciiTheme="minorHAnsi" w:hAnsiTheme="minorHAnsi" w:cstheme="minorHAnsi"/>
                <w:i/>
                <w:szCs w:val="19"/>
              </w:rPr>
              <w:lastRenderedPageBreak/>
              <w:t>vysoká vzhľadom na sumy, ktoré vie RO porovnať z verejne dostupných zdrojov alebo z vlastných databáz a zdrojov informácií o hodnotách podobných tovarov, prác a služieb,</w:t>
            </w:r>
          </w:p>
          <w:p w14:paraId="75BB3688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2516EA8E" w14:textId="2365069B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v súťaži je možné pozorovať náhly pokles ponukových cien pri vstupe uchádzača do súťaže, ktorý v predošlých podobných súťažiach nepredkladal ponuku.</w:t>
            </w:r>
          </w:p>
          <w:p w14:paraId="68769D6A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3FE6FDE8" w14:textId="3CA386C9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v prípade, že uchádzači vedia o ponukách (napr. predchádzajúce verejné obstarávanie bolo zrušené po otvorení ponúk) neúspešní uchádzači zvýšia ceny, alebo cena u väčšiny uchádzačov zostane rovnaká</w:t>
            </w:r>
          </w:p>
        </w:tc>
      </w:tr>
      <w:tr w:rsidR="0013284C" w14:paraId="0BE80B4D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037C1302" w14:textId="0C83182D" w:rsidR="0013284C" w:rsidRDefault="0013284C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lastRenderedPageBreak/>
              <w:t>7.</w:t>
            </w:r>
          </w:p>
        </w:tc>
        <w:tc>
          <w:tcPr>
            <w:tcW w:w="4394" w:type="dxa"/>
            <w:vAlign w:val="center"/>
          </w:tcPr>
          <w:p w14:paraId="49F1EDA5" w14:textId="573440C1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Podozrivé indície v dokumentácii z verejného obstarávania</w:t>
            </w:r>
          </w:p>
        </w:tc>
        <w:tc>
          <w:tcPr>
            <w:tcW w:w="4278" w:type="dxa"/>
            <w:vAlign w:val="center"/>
          </w:tcPr>
          <w:p w14:paraId="32B84F2F" w14:textId="22E43FDC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dokumenty obsahujú rovnaký rukopis, druh písma, rovnakú formu alebo boli použité rovnaké kancelárske potreby (napr. ponuky sú podpísané rovnakým atramentom, sú na rovnakom kancelárskom papieri), </w:t>
            </w:r>
          </w:p>
          <w:p w14:paraId="29729392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63C29F54" w14:textId="2E4D5196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rovnaké chyby v jednotlivých dokumentoch, napr. pravopisné chyby, tlačiarenské chyby (rovnaké šmuhy od tlačiarne), matematické chyby (rovnaké zlé výpočty),</w:t>
            </w:r>
          </w:p>
          <w:p w14:paraId="673FA66E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3C6750E0" w14:textId="5E80F1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zhodné nepravidelnosti, napr. zoradenie dokumentov do ponuky s prehodenými stranami, chybné číslovanie strán,</w:t>
            </w:r>
          </w:p>
          <w:p w14:paraId="13BC52A0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629688C6" w14:textId="0358C4FD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dokumenty v elektronickej forme ukazujú, že ich vytvorila alebo upravovala jedna osoba,</w:t>
            </w:r>
          </w:p>
          <w:p w14:paraId="7F89D175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440A073F" w14:textId="3B5BDA9C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obálky od rôznych uchádzačov majú podobné poštové pečiatky, sú zasielané z jednej pošty, majú rovnaké frankovacie značky a známky, na podacích lístkoch je rovnaký rukopis, čísla kolkov v rôznych ponukách na seba nadväzujú, </w:t>
            </w:r>
          </w:p>
          <w:p w14:paraId="4DDE56C8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4FC4C444" w14:textId="77D1D75A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niekoľko ponúk (alebo akýchkoľvek iných dokumentov, napr. žiadosti o vysvetlenie súťažných podkladov) je posielaných z rovnakej emailovej adresy, z rovnakého faxového čísla alebo naraz prostredníctvom jedného kuriéra,</w:t>
            </w:r>
          </w:p>
          <w:p w14:paraId="483FA1A3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4AAA5060" w14:textId="03B00759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dokumenty o cenových ponukách obsahujú veľký počet opráv na poslednú chvíľu ako gumovanie, škrtanie alebo iné fyzické zmeny,</w:t>
            </w:r>
          </w:p>
          <w:p w14:paraId="131689A6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02DA4D64" w14:textId="49122D6E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ponuky jedného uchádzača obsahujú jednoznačný odkaz na ponuky ostatných konkurentov, v hlavičke sa vyskytuje faxové číslo iného uchádzača alebo využívajú hlavičkový papier konkurenta,</w:t>
            </w:r>
          </w:p>
          <w:p w14:paraId="5965BAB6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6136BC70" w14:textId="41169DD8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ponuky viacerých uchádzačov obsahujú podstatný počet rovnakých odhadov nákladov na jednotlivé položky.</w:t>
            </w:r>
          </w:p>
        </w:tc>
      </w:tr>
    </w:tbl>
    <w:p w14:paraId="3147189B" w14:textId="77777777" w:rsidR="0013284C" w:rsidRPr="002316E3" w:rsidRDefault="0013284C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sectPr w:rsidR="0013284C" w:rsidRPr="002316E3" w:rsidSect="00F7678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B03909" w14:textId="77777777" w:rsidR="00EF56B5" w:rsidRDefault="00EF56B5">
      <w:r>
        <w:separator/>
      </w:r>
    </w:p>
    <w:p w14:paraId="0188CF03" w14:textId="77777777" w:rsidR="00EF56B5" w:rsidRDefault="00EF56B5"/>
  </w:endnote>
  <w:endnote w:type="continuationSeparator" w:id="0">
    <w:p w14:paraId="086EE57E" w14:textId="77777777" w:rsidR="00EF56B5" w:rsidRDefault="00EF56B5">
      <w:r>
        <w:continuationSeparator/>
      </w:r>
    </w:p>
    <w:p w14:paraId="2166BBC3" w14:textId="77777777" w:rsidR="00EF56B5" w:rsidRDefault="00EF56B5"/>
  </w:endnote>
  <w:endnote w:type="continuationNotice" w:id="1">
    <w:p w14:paraId="4B218C6E" w14:textId="77777777" w:rsidR="00EF56B5" w:rsidRDefault="00EF56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F2C66D" w14:textId="77777777" w:rsidR="00C66850" w:rsidRDefault="00C66850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56E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E8ABD3" w14:textId="77777777" w:rsidR="00C66850" w:rsidRDefault="00C6685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CDDEB2" w14:textId="77777777" w:rsidR="00EF56B5" w:rsidRDefault="00EF56B5">
      <w:r>
        <w:separator/>
      </w:r>
    </w:p>
    <w:p w14:paraId="71E50A68" w14:textId="77777777" w:rsidR="00EF56B5" w:rsidRDefault="00EF56B5"/>
  </w:footnote>
  <w:footnote w:type="continuationSeparator" w:id="0">
    <w:p w14:paraId="2EB886FC" w14:textId="77777777" w:rsidR="00EF56B5" w:rsidRDefault="00EF56B5">
      <w:r>
        <w:continuationSeparator/>
      </w:r>
    </w:p>
    <w:p w14:paraId="781F35CE" w14:textId="77777777" w:rsidR="00EF56B5" w:rsidRDefault="00EF56B5"/>
  </w:footnote>
  <w:footnote w:type="continuationNotice" w:id="1">
    <w:p w14:paraId="5FB4B43E" w14:textId="77777777" w:rsidR="00EF56B5" w:rsidRDefault="00EF56B5"/>
  </w:footnote>
  <w:footnote w:id="2">
    <w:p w14:paraId="6B7D984D" w14:textId="07EE1328" w:rsidR="002316E3" w:rsidRPr="002316E3" w:rsidRDefault="002316E3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2316E3">
        <w:rPr>
          <w:sz w:val="14"/>
        </w:rPr>
        <w:t>z pohľadu možného porušenia hospodárskej súťaže podľa zákona č. 136/2001 Z.z. o ochrane hospodárskej súťaže - konkrétne  dohôd obmedzujúcich súťaž podľa §4 zákona o ochrane hospodárskej súťaže.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FD37F1" w14:textId="77777777" w:rsidR="00C66850" w:rsidRDefault="00C66850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474EADA0" w:rsidR="006D04C5" w:rsidRPr="00624DC2" w:rsidRDefault="00C66850">
    <w:pPr>
      <w:pStyle w:val="Hlavika"/>
      <w:tabs>
        <w:tab w:val="left" w:pos="709"/>
      </w:tabs>
      <w:rPr>
        <w:lang w:val="en-GB"/>
      </w:rPr>
    </w:pPr>
    <w:r>
      <w:rPr>
        <w:noProof/>
        <w:lang w:val="sk-SK" w:eastAsia="sk-SK"/>
      </w:rPr>
      <w:drawing>
        <wp:inline distT="0" distB="0" distL="0" distR="0" wp14:anchorId="186DCBA9" wp14:editId="4AF76457">
          <wp:extent cx="5759450" cy="685149"/>
          <wp:effectExtent l="0" t="0" r="0" b="0"/>
          <wp:docPr id="1" name="Obrázok 1" descr="http://basp01.intra.minv.sk/projekty/2020/opkzp/Zdielane%20dokumenty/INFORMOVANIE%20A%20KOMUNIKÁCIA/hlavicka-opkzp%20eu%20mv%20s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basp01.intra.minv.sk/projekty/2020/opkzp/Zdielane%20dokumenty/INFORMOVANIE%20A%20KOMUNIKÁCIA/hlavicka-opkzp%20eu%20mv%20s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51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AA9EE9" w14:textId="77777777" w:rsidR="00C66850" w:rsidRDefault="00C66850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5176E2"/>
    <w:multiLevelType w:val="hybridMultilevel"/>
    <w:tmpl w:val="F58EF9CC"/>
    <w:lvl w:ilvl="0" w:tplc="FBEC166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085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57A35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32F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284C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5E7C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4F58"/>
    <w:rsid w:val="0017524E"/>
    <w:rsid w:val="00176C2C"/>
    <w:rsid w:val="001773B7"/>
    <w:rsid w:val="001776D3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6E3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B7B3A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3A3D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2EAB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452F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5BA5"/>
    <w:rsid w:val="007263D1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12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828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56E6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18E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2F4F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4664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6C6"/>
    <w:rsid w:val="00C623E0"/>
    <w:rsid w:val="00C62AF3"/>
    <w:rsid w:val="00C62EDC"/>
    <w:rsid w:val="00C66850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1DF2"/>
    <w:rsid w:val="00D53974"/>
    <w:rsid w:val="00D54079"/>
    <w:rsid w:val="00D6115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869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1D7C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6B5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0B8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CFA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8852103B-7FEC-4E9C-9D67-D444FE41D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143B1C6-C569-4328-A269-1818DC8CA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700</Words>
  <Characters>3994</Characters>
  <Application>Microsoft Office Word</Application>
  <DocSecurity>0</DocSecurity>
  <Lines>33</Lines>
  <Paragraphs>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4685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metodika.adapt@minv.sk</dc:creator>
  <cp:lastModifiedBy>Marcel Kurejko</cp:lastModifiedBy>
  <cp:revision>2</cp:revision>
  <cp:lastPrinted>2006-02-10T13:19:00Z</cp:lastPrinted>
  <dcterms:created xsi:type="dcterms:W3CDTF">2015-08-18T10:36:00Z</dcterms:created>
  <dcterms:modified xsi:type="dcterms:W3CDTF">2015-08-18T10:36:00Z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