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DCBAE" w14:textId="343E6B6D" w:rsidR="00CB5E9C" w:rsidRDefault="00CB5E9C" w:rsidP="00D0373F">
      <w:pPr>
        <w:pStyle w:val="Hlavika"/>
        <w:jc w:val="center"/>
        <w:rPr>
          <w:b/>
          <w:smallCaps/>
        </w:rPr>
      </w:pPr>
      <w:bookmarkStart w:id="0" w:name="_GoBack"/>
      <w:bookmarkEnd w:id="0"/>
    </w:p>
    <w:p w14:paraId="0D3B3A76" w14:textId="6089370B" w:rsidR="00CB5E9C" w:rsidRDefault="00CB5E9C" w:rsidP="00CB5E9C">
      <w:pPr>
        <w:pStyle w:val="Hlavika"/>
        <w:jc w:val="both"/>
        <w:rPr>
          <w:b/>
          <w:smallCaps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0B118FD2" wp14:editId="1E923DBC">
            <wp:extent cx="8886825" cy="1057606"/>
            <wp:effectExtent l="0" t="0" r="0" b="0"/>
            <wp:docPr id="1" name="Obrázok 1" descr="hlavicka-opkzp eu mv 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lavicka-opkzp eu mv s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1057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36CB0" w14:textId="77777777" w:rsidR="0004107F" w:rsidRDefault="0004107F" w:rsidP="0004107F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5E51A4" w:rsidRPr="005E51A4" w14:paraId="56236CB2" w14:textId="77777777" w:rsidTr="00547395">
        <w:tc>
          <w:tcPr>
            <w:tcW w:w="14142" w:type="dxa"/>
            <w:shd w:val="clear" w:color="auto" w:fill="B2A1C7" w:themeFill="accent4" w:themeFillTint="99"/>
          </w:tcPr>
          <w:p w14:paraId="56236CB1" w14:textId="77777777" w:rsidR="005E51A4" w:rsidRPr="005E51A4" w:rsidRDefault="005E51A4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14:paraId="56236CB3" w14:textId="77777777"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491"/>
        <w:gridCol w:w="1700"/>
        <w:gridCol w:w="1402"/>
        <w:gridCol w:w="1682"/>
        <w:gridCol w:w="1822"/>
        <w:gridCol w:w="1818"/>
        <w:gridCol w:w="2775"/>
      </w:tblGrid>
      <w:tr w:rsidR="00854A2E" w:rsidRPr="005E51A4" w14:paraId="56236CB5" w14:textId="77777777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14:paraId="56236CB4" w14:textId="77777777" w:rsidR="00854A2E" w:rsidRPr="005E51A4" w:rsidRDefault="00854A2E" w:rsidP="005E51A4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854A2E" w:rsidRPr="005E51A4" w14:paraId="56236CC2" w14:textId="77777777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56236CB6" w14:textId="77777777"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14:paraId="56236CB7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56236CB8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 xml:space="preserve">Relevancia merateľného </w:t>
            </w:r>
            <w:r w:rsidRPr="005E51A4">
              <w:rPr>
                <w:b/>
              </w:rPr>
              <w:lastRenderedPageBreak/>
              <w:t>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6236CB9" w14:textId="77777777" w:rsidR="00854A2E" w:rsidRPr="005E51A4" w:rsidRDefault="00854A2E" w:rsidP="005E51A4">
            <w:pPr>
              <w:jc w:val="center"/>
              <w:rPr>
                <w:b/>
              </w:rPr>
            </w:pPr>
          </w:p>
          <w:p w14:paraId="56236CBA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6236CBB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6236CBC" w14:textId="77777777" w:rsidR="00854A2E" w:rsidRPr="005E51A4" w:rsidRDefault="00854A2E" w:rsidP="005E51A4">
            <w:pPr>
              <w:jc w:val="center"/>
              <w:rPr>
                <w:b/>
              </w:rPr>
            </w:pPr>
          </w:p>
          <w:p w14:paraId="56236CBD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6236CBE" w14:textId="77777777" w:rsidR="00854A2E" w:rsidRPr="005E51A4" w:rsidRDefault="00854A2E" w:rsidP="005E51A4">
            <w:pPr>
              <w:jc w:val="center"/>
              <w:rPr>
                <w:b/>
              </w:rPr>
            </w:pPr>
          </w:p>
          <w:p w14:paraId="56236CBF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MÚ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6236CC0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14:paraId="56236CC1" w14:textId="77777777"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854A2E" w:rsidRPr="005E51A4" w14:paraId="56236CCB" w14:textId="77777777" w:rsidTr="00854A2E">
        <w:tc>
          <w:tcPr>
            <w:tcW w:w="1304" w:type="dxa"/>
          </w:tcPr>
          <w:p w14:paraId="56236CC3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lastRenderedPageBreak/>
              <w:t>(1)</w:t>
            </w:r>
          </w:p>
        </w:tc>
        <w:tc>
          <w:tcPr>
            <w:tcW w:w="1493" w:type="dxa"/>
            <w:vAlign w:val="center"/>
          </w:tcPr>
          <w:p w14:paraId="56236CC4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14:paraId="56236CC5" w14:textId="77777777"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14:paraId="56236CC6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14:paraId="56236CC7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56236CC8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56236CC9" w14:textId="77777777"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14:paraId="56236CCA" w14:textId="77777777"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14:paraId="56236CD4" w14:textId="77777777" w:rsidTr="00854A2E">
        <w:tc>
          <w:tcPr>
            <w:tcW w:w="1304" w:type="dxa"/>
          </w:tcPr>
          <w:p w14:paraId="56236CCC" w14:textId="77777777"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14:paraId="56236CCD" w14:textId="77777777" w:rsidR="00854A2E" w:rsidRPr="005E51A4" w:rsidRDefault="00854A2E" w:rsidP="005E51A4"/>
        </w:tc>
        <w:tc>
          <w:tcPr>
            <w:tcW w:w="1706" w:type="dxa"/>
          </w:tcPr>
          <w:p w14:paraId="56236CCE" w14:textId="77777777" w:rsidR="00854A2E" w:rsidRPr="005E51A4" w:rsidRDefault="00854A2E" w:rsidP="005E51A4"/>
        </w:tc>
        <w:tc>
          <w:tcPr>
            <w:tcW w:w="1417" w:type="dxa"/>
          </w:tcPr>
          <w:p w14:paraId="56236CCF" w14:textId="77777777" w:rsidR="00854A2E" w:rsidRPr="005E51A4" w:rsidRDefault="00854A2E" w:rsidP="005E51A4"/>
        </w:tc>
        <w:tc>
          <w:tcPr>
            <w:tcW w:w="1701" w:type="dxa"/>
          </w:tcPr>
          <w:p w14:paraId="56236CD0" w14:textId="77777777" w:rsidR="00854A2E" w:rsidRPr="005E51A4" w:rsidRDefault="00854A2E" w:rsidP="005E51A4"/>
        </w:tc>
        <w:tc>
          <w:tcPr>
            <w:tcW w:w="1843" w:type="dxa"/>
          </w:tcPr>
          <w:p w14:paraId="56236CD1" w14:textId="77777777" w:rsidR="00854A2E" w:rsidRPr="005E51A4" w:rsidRDefault="00854A2E" w:rsidP="005E51A4"/>
        </w:tc>
        <w:tc>
          <w:tcPr>
            <w:tcW w:w="1843" w:type="dxa"/>
          </w:tcPr>
          <w:p w14:paraId="56236CD2" w14:textId="77777777" w:rsidR="00854A2E" w:rsidRPr="005E51A4" w:rsidRDefault="00854A2E" w:rsidP="005E51A4"/>
        </w:tc>
        <w:tc>
          <w:tcPr>
            <w:tcW w:w="2835" w:type="dxa"/>
          </w:tcPr>
          <w:p w14:paraId="56236CD3" w14:textId="77777777" w:rsidR="00854A2E" w:rsidRPr="005E51A4" w:rsidRDefault="00854A2E" w:rsidP="005E51A4"/>
        </w:tc>
      </w:tr>
      <w:tr w:rsidR="00854A2E" w:rsidRPr="005E51A4" w14:paraId="56236CD7" w14:textId="77777777" w:rsidTr="00854A2E">
        <w:tc>
          <w:tcPr>
            <w:tcW w:w="1304" w:type="dxa"/>
          </w:tcPr>
          <w:p w14:paraId="56236CD5" w14:textId="77777777"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14:paraId="56236CD6" w14:textId="77777777" w:rsidR="00854A2E" w:rsidRPr="005E51A4" w:rsidRDefault="00854A2E" w:rsidP="005E51A4"/>
        </w:tc>
      </w:tr>
    </w:tbl>
    <w:p w14:paraId="56236CD8" w14:textId="77777777"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71"/>
        <w:gridCol w:w="1818"/>
        <w:gridCol w:w="1963"/>
        <w:gridCol w:w="1825"/>
        <w:gridCol w:w="1960"/>
        <w:gridCol w:w="2375"/>
      </w:tblGrid>
      <w:tr w:rsidR="00F17B69" w:rsidRPr="005E51A4" w14:paraId="56236CDA" w14:textId="77777777" w:rsidTr="00F17B69">
        <w:tc>
          <w:tcPr>
            <w:tcW w:w="14142" w:type="dxa"/>
            <w:gridSpan w:val="7"/>
            <w:shd w:val="clear" w:color="auto" w:fill="FABF8F" w:themeFill="accent6" w:themeFillTint="99"/>
          </w:tcPr>
          <w:p w14:paraId="56236CD9" w14:textId="77777777" w:rsidR="00F17B69" w:rsidRPr="005E51A4" w:rsidRDefault="00F17B69" w:rsidP="005E51A4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F17B69" w:rsidRPr="005E51A4" w14:paraId="56236CE6" w14:textId="77777777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56236CDB" w14:textId="77777777"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lastRenderedPageBreak/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14:paraId="56236CDC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6236CDD" w14:textId="77777777" w:rsidR="00F17B69" w:rsidRPr="005E51A4" w:rsidRDefault="00F17B69" w:rsidP="005E51A4">
            <w:pPr>
              <w:jc w:val="center"/>
              <w:rPr>
                <w:b/>
              </w:rPr>
            </w:pPr>
          </w:p>
          <w:p w14:paraId="56236CDE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6236CDF" w14:textId="77777777" w:rsidR="00F17B69" w:rsidRPr="005E51A4" w:rsidRDefault="00F17B69" w:rsidP="005E51A4">
            <w:pPr>
              <w:jc w:val="center"/>
              <w:rPr>
                <w:b/>
              </w:rPr>
            </w:pPr>
          </w:p>
          <w:p w14:paraId="56236CE0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6236CE1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6236CE2" w14:textId="77777777" w:rsidR="00F17B69" w:rsidRPr="005E51A4" w:rsidRDefault="00F17B69" w:rsidP="005E51A4">
            <w:pPr>
              <w:jc w:val="center"/>
              <w:rPr>
                <w:b/>
              </w:rPr>
            </w:pPr>
          </w:p>
          <w:p w14:paraId="56236CE3" w14:textId="77777777"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Skutočný stav MÚ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6236CE4" w14:textId="77777777"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14:paraId="56236CE5" w14:textId="77777777"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A749A1" w:rsidRPr="005E51A4" w14:paraId="56236CEE" w14:textId="77777777" w:rsidTr="00307063">
        <w:tc>
          <w:tcPr>
            <w:tcW w:w="1680" w:type="dxa"/>
            <w:vAlign w:val="center"/>
          </w:tcPr>
          <w:p w14:paraId="56236CE7" w14:textId="77777777"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14:paraId="56236CE8" w14:textId="77777777"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14:paraId="56236CE9" w14:textId="77777777"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14:paraId="56236CEA" w14:textId="77777777"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14:paraId="56236CEB" w14:textId="77777777"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14:paraId="56236CEC" w14:textId="77777777"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14:paraId="56236CED" w14:textId="77777777"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14:paraId="56236CF6" w14:textId="77777777" w:rsidTr="00A749A1">
        <w:tc>
          <w:tcPr>
            <w:tcW w:w="1680" w:type="dxa"/>
          </w:tcPr>
          <w:p w14:paraId="56236CEF" w14:textId="77777777"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14:paraId="56236CF0" w14:textId="77777777" w:rsidR="00F17B69" w:rsidRPr="005E51A4" w:rsidRDefault="00F17B69" w:rsidP="005E51A4"/>
        </w:tc>
        <w:tc>
          <w:tcPr>
            <w:tcW w:w="1843" w:type="dxa"/>
          </w:tcPr>
          <w:p w14:paraId="56236CF1" w14:textId="77777777" w:rsidR="00F17B69" w:rsidRPr="005E51A4" w:rsidRDefault="00F17B69" w:rsidP="005E51A4"/>
        </w:tc>
        <w:tc>
          <w:tcPr>
            <w:tcW w:w="1985" w:type="dxa"/>
          </w:tcPr>
          <w:p w14:paraId="56236CF2" w14:textId="77777777" w:rsidR="00F17B69" w:rsidRPr="005E51A4" w:rsidRDefault="00F17B69" w:rsidP="005E51A4"/>
        </w:tc>
        <w:tc>
          <w:tcPr>
            <w:tcW w:w="1842" w:type="dxa"/>
          </w:tcPr>
          <w:p w14:paraId="56236CF3" w14:textId="77777777" w:rsidR="00F17B69" w:rsidRPr="005E51A4" w:rsidRDefault="00F17B69" w:rsidP="005E51A4"/>
        </w:tc>
        <w:tc>
          <w:tcPr>
            <w:tcW w:w="1985" w:type="dxa"/>
          </w:tcPr>
          <w:p w14:paraId="56236CF4" w14:textId="77777777" w:rsidR="00F17B69" w:rsidRPr="005E51A4" w:rsidRDefault="00F17B69" w:rsidP="005E51A4"/>
        </w:tc>
        <w:tc>
          <w:tcPr>
            <w:tcW w:w="2410" w:type="dxa"/>
          </w:tcPr>
          <w:p w14:paraId="56236CF5" w14:textId="77777777" w:rsidR="00F17B69" w:rsidRPr="005E51A4" w:rsidRDefault="00F17B69" w:rsidP="005E51A4"/>
        </w:tc>
      </w:tr>
      <w:tr w:rsidR="00F17B69" w:rsidRPr="005E51A4" w14:paraId="56236CFA" w14:textId="77777777" w:rsidTr="00F17B69">
        <w:tc>
          <w:tcPr>
            <w:tcW w:w="1680" w:type="dxa"/>
          </w:tcPr>
          <w:p w14:paraId="56236CF7" w14:textId="77777777"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14:paraId="56236CF8" w14:textId="77777777"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14:paraId="56236CF9" w14:textId="77777777" w:rsidR="00F17B69" w:rsidRPr="005E51A4" w:rsidRDefault="00F17B69" w:rsidP="005E51A4"/>
        </w:tc>
      </w:tr>
    </w:tbl>
    <w:p w14:paraId="56236CFB" w14:textId="77777777"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10"/>
      </w:tblGrid>
      <w:tr w:rsidR="005E51A4" w:rsidRPr="005E51A4" w14:paraId="56236CFD" w14:textId="77777777" w:rsidTr="00547395">
        <w:tc>
          <w:tcPr>
            <w:tcW w:w="5000" w:type="pct"/>
            <w:shd w:val="clear" w:color="auto" w:fill="FABF8F" w:themeFill="accent6" w:themeFillTint="99"/>
          </w:tcPr>
          <w:p w14:paraId="56236CFC" w14:textId="77777777"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E51A4" w:rsidRPr="005E51A4" w14:paraId="56236CFF" w14:textId="77777777" w:rsidTr="00547395">
        <w:tc>
          <w:tcPr>
            <w:tcW w:w="5000" w:type="pct"/>
          </w:tcPr>
          <w:p w14:paraId="56236CFE" w14:textId="77777777" w:rsidR="005E51A4" w:rsidRPr="005E51A4" w:rsidRDefault="005E51A4" w:rsidP="005E51A4">
            <w:pPr>
              <w:rPr>
                <w:b/>
              </w:rPr>
            </w:pPr>
          </w:p>
        </w:tc>
      </w:tr>
    </w:tbl>
    <w:p w14:paraId="56236D00" w14:textId="77777777" w:rsidR="00627EA3" w:rsidRPr="005E51A4" w:rsidRDefault="00627EA3" w:rsidP="005E51A4"/>
    <w:sectPr w:rsidR="00627EA3" w:rsidRPr="005E51A4" w:rsidSect="005E51A4">
      <w:headerReference w:type="default" r:id="rId12"/>
      <w:footerReference w:type="default" r:id="rId13"/>
      <w:footerReference w:type="first" r:id="rId14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5B76E" w14:textId="77777777" w:rsidR="00933872" w:rsidRDefault="00933872" w:rsidP="00B948E0">
      <w:r>
        <w:separator/>
      </w:r>
    </w:p>
  </w:endnote>
  <w:endnote w:type="continuationSeparator" w:id="0">
    <w:p w14:paraId="3E767C7D" w14:textId="77777777" w:rsidR="00933872" w:rsidRDefault="0093387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50F72" w14:textId="1127042B" w:rsidR="00DA321A" w:rsidRDefault="00DA321A">
    <w:pPr>
      <w:pStyle w:val="Pta"/>
    </w:pPr>
    <w:r>
      <w:t>Príloha č. 02 Doplňujúce monitorovacie údaje k žiadosti o platbu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36D08" w14:textId="6D6BE359" w:rsidR="0004107F" w:rsidRPr="0004107F" w:rsidRDefault="00271B26" w:rsidP="0004107F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6236D0C" wp14:editId="695E9AF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8914765" cy="9525"/>
              <wp:effectExtent l="57150" t="38100" r="57785" b="85725"/>
              <wp:wrapNone/>
              <wp:docPr id="9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AD1EE3" id="Rovná spojnica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56236D09" w14:textId="77777777"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C141AF" w:rsidRPr="0004107F">
          <w:fldChar w:fldCharType="begin"/>
        </w:r>
        <w:r w:rsidRPr="0004107F">
          <w:instrText>PAGE   \* MERGEFORMAT</w:instrText>
        </w:r>
        <w:r w:rsidR="00C141AF" w:rsidRPr="0004107F">
          <w:fldChar w:fldCharType="separate"/>
        </w:r>
        <w:r w:rsidR="00EE6952">
          <w:rPr>
            <w:noProof/>
          </w:rPr>
          <w:t>1</w:t>
        </w:r>
        <w:r w:rsidR="00C141AF" w:rsidRPr="0004107F">
          <w:fldChar w:fldCharType="end"/>
        </w:r>
      </w:sdtContent>
    </w:sdt>
  </w:p>
  <w:p w14:paraId="56236D0A" w14:textId="013D52F6" w:rsidR="004D0F36" w:rsidRDefault="00BD5181">
    <w:pPr>
      <w:pStyle w:val="Pta"/>
    </w:pPr>
    <w:r>
      <w:t xml:space="preserve">Príloha č. </w:t>
    </w:r>
    <w:r w:rsidR="00DA321A">
      <w:t>0</w:t>
    </w:r>
    <w:r>
      <w:t>2 Doplňujúce monitorovacie údaje k</w:t>
    </w:r>
    <w:r w:rsidR="00670341">
      <w:t> žiadosti o platbu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1686F" w14:textId="77777777" w:rsidR="00933872" w:rsidRDefault="00933872" w:rsidP="00B948E0">
      <w:r>
        <w:separator/>
      </w:r>
    </w:p>
  </w:footnote>
  <w:footnote w:type="continuationSeparator" w:id="0">
    <w:p w14:paraId="72B240D5" w14:textId="77777777" w:rsidR="00933872" w:rsidRDefault="00933872" w:rsidP="00B948E0">
      <w:r>
        <w:continuationSeparator/>
      </w:r>
    </w:p>
  </w:footnote>
  <w:footnote w:id="1">
    <w:p w14:paraId="56236D0F" w14:textId="77777777" w:rsidR="005E51A4" w:rsidRPr="009C66B5" w:rsidRDefault="005E51A4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po odoslaní príslušnej žiadosti o platbu prijímateľom v ITMS2014+. Platí pre zúčtovanie zálohovej platby, priebežnú platbu a poskytnutie predfinancovania.</w:t>
      </w:r>
    </w:p>
  </w:footnote>
  <w:footnote w:id="2">
    <w:p w14:paraId="56236D10" w14:textId="77777777" w:rsidR="00854A2E" w:rsidRPr="009C66B5" w:rsidRDefault="00854A2E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 2014+. Uvádzajú sa kódy a názvy merateľných ukazovateľov vo vzťahu k daným aktivitám (hlavným aj podporným) v zmysle zmluvy o poskytnutí nenávratného finančného príspevku.</w:t>
      </w:r>
    </w:p>
  </w:footnote>
  <w:footnote w:id="3">
    <w:p w14:paraId="56236D11" w14:textId="77777777" w:rsidR="00854A2E" w:rsidRPr="009C66B5" w:rsidRDefault="00854A2E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4">
    <w:p w14:paraId="56236D12" w14:textId="77777777" w:rsidR="00854A2E" w:rsidRPr="009C66B5" w:rsidRDefault="00854A2E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14:paraId="56236D13" w14:textId="77777777" w:rsidR="00854A2E" w:rsidRPr="009C66B5" w:rsidRDefault="00854A2E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 2014+. Uvádza sa merná jednotka v zmysle zmluvy o poskytnutí nenávratného finančného príspevku.</w:t>
      </w:r>
    </w:p>
  </w:footnote>
  <w:footnote w:id="6">
    <w:p w14:paraId="56236D14" w14:textId="77777777" w:rsidR="00854A2E" w:rsidRPr="009C66B5" w:rsidRDefault="00854A2E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 2014+. Uvádza sa plánovaný stav merateľného ukazovateľa v zmysle zmluvy o poskytnutí nenávratného finančného príspevku.</w:t>
      </w:r>
    </w:p>
  </w:footnote>
  <w:footnote w:id="7">
    <w:p w14:paraId="56236D15" w14:textId="77777777" w:rsidR="00854A2E" w:rsidRPr="009C66B5" w:rsidRDefault="00854A2E" w:rsidP="005E51A4">
      <w:pPr>
        <w:pStyle w:val="Textpoznmkypodiarou"/>
        <w:jc w:val="both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Uvádza sa kumulatívna hodnota merateľného ukazovateľa nameraná vo vzťahu k aktivite projektu k poslednému dňu monitorovaného obdobia, t.j. súhrnná hodnota dosiahnutá za obdobie od začiatku realizácie projektu do dátumu monitorovacej správy.</w:t>
      </w:r>
    </w:p>
  </w:footnote>
  <w:footnote w:id="8">
    <w:p w14:paraId="56236D16" w14:textId="77777777" w:rsidR="00854A2E" w:rsidRPr="009C66B5" w:rsidRDefault="00854A2E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 xml:space="preserve">Vypĺňané automaticky ITMS 2014+. Pomer skutočného stavu (stĺpe č. </w:t>
      </w:r>
      <w:r w:rsidR="008E3F90" w:rsidRPr="009C66B5">
        <w:rPr>
          <w:sz w:val="18"/>
          <w:szCs w:val="18"/>
        </w:rPr>
        <w:t>7</w:t>
      </w:r>
      <w:r w:rsidRPr="009C66B5">
        <w:rPr>
          <w:sz w:val="18"/>
          <w:szCs w:val="18"/>
        </w:rPr>
        <w:t xml:space="preserve">) ku plánovanému stavu (stĺpec č. </w:t>
      </w:r>
      <w:r w:rsidR="008E3F90" w:rsidRPr="009C66B5">
        <w:rPr>
          <w:sz w:val="18"/>
          <w:szCs w:val="18"/>
        </w:rPr>
        <w:t>6</w:t>
      </w:r>
      <w:r w:rsidRPr="009C66B5">
        <w:rPr>
          <w:sz w:val="18"/>
          <w:szCs w:val="18"/>
        </w:rPr>
        <w:t>) merateľného ukazovateľa  aktivity projektu v percentuálnom vyjadrení.</w:t>
      </w:r>
    </w:p>
  </w:footnote>
  <w:footnote w:id="9">
    <w:p w14:paraId="56236D17" w14:textId="77777777" w:rsidR="00854A2E" w:rsidRDefault="00854A2E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 2014+. Uvádzajú sa postupne všetky aktivity v zmysle zmluvy o poskytnutí nenávratného finančného príspevku. V prípade, ak aktivita prispieva k napĺňaniu viacerých merateľných ukazovateľov uvedie sa viackrát tá istá aktivita.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10">
    <w:p w14:paraId="56236D18" w14:textId="1FABEFF2" w:rsidR="00854A2E" w:rsidRPr="009C66B5" w:rsidRDefault="00854A2E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Prijímateľ uvedie stručný popis priebehu a pokroku aktivity za obdobie od začiatku realizácie aktivít projektu do konca monitorovaného obdobia v prípade výročných monitorovacích správ a za monitorované obdobie v prípade záverečnej monitorovacej správy,</w:t>
      </w:r>
      <w:r w:rsidR="00883C87">
        <w:rPr>
          <w:sz w:val="18"/>
          <w:szCs w:val="18"/>
        </w:rPr>
        <w:t xml:space="preserve"> </w:t>
      </w:r>
      <w:r w:rsidRPr="009C66B5">
        <w:rPr>
          <w:sz w:val="18"/>
          <w:szCs w:val="18"/>
        </w:rPr>
        <w:t>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1">
    <w:p w14:paraId="56236D19" w14:textId="77777777" w:rsidR="00F17B69" w:rsidRPr="009C66B5" w:rsidRDefault="00F17B69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 xml:space="preserve">Uvádzajú sa údaje od začiatku realizácie projektu do ukončenia monitorovaného obdobia. </w:t>
      </w:r>
    </w:p>
  </w:footnote>
  <w:footnote w:id="12">
    <w:p w14:paraId="56236D1A" w14:textId="77777777" w:rsidR="00F17B69" w:rsidRPr="009C66B5" w:rsidRDefault="00F17B69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 2014+. Uvádzajú sa kódy a názvy merateľných ukazovateľov v zmysle zmluvy o poskytnutí nenávratného finančného príspevku.</w:t>
      </w:r>
    </w:p>
  </w:footnote>
  <w:footnote w:id="13">
    <w:p w14:paraId="56236D1B" w14:textId="77777777" w:rsidR="00F17B69" w:rsidRPr="009C66B5" w:rsidRDefault="00F17B69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14">
    <w:p w14:paraId="56236D1C" w14:textId="77777777" w:rsidR="00F17B69" w:rsidRPr="009C66B5" w:rsidRDefault="00F17B69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14:paraId="56236D1D" w14:textId="77777777" w:rsidR="00F17B69" w:rsidRPr="009C66B5" w:rsidRDefault="00F17B69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 2014+. Uvádza sa merná jednotka v zmysle zmluvy o poskytnutí nenávratného finančného príspevku.</w:t>
      </w:r>
    </w:p>
  </w:footnote>
  <w:footnote w:id="16">
    <w:p w14:paraId="56236D1E" w14:textId="77777777" w:rsidR="00F17B69" w:rsidRPr="009C66B5" w:rsidRDefault="00F17B69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 2014+. Uvádza sa plánovaný stav merateľných ukazovateľov v zmysle zmluvy o poskytnutí nenávratného finančného príspevku.</w:t>
      </w:r>
    </w:p>
  </w:footnote>
  <w:footnote w:id="17">
    <w:p w14:paraId="56236D1F" w14:textId="77777777" w:rsidR="00F17B69" w:rsidRPr="009C66B5" w:rsidRDefault="00F17B69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Uvádza sa kumulatívna hodnota merateľného ukazovateľa nameraná k poslednému dňu monitorovaného obdobia, t.j. súhrnná hodnota dosiahnutá za obdobie od začiatku realizácie projektu do posledného dňa monitorovaného obdobia.</w:t>
      </w:r>
    </w:p>
  </w:footnote>
  <w:footnote w:id="18">
    <w:p w14:paraId="56236D20" w14:textId="77777777" w:rsidR="00F17B69" w:rsidRPr="009C66B5" w:rsidRDefault="00F17B69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 2014+. Pomer skutočného stavu (stĺpe č. 6) ku plánovanému stavu (stĺpec č. 5) merateľného ukazovateľa  aktivity projektu v percentuálnom vyjadrení.</w:t>
      </w:r>
    </w:p>
  </w:footnote>
  <w:footnote w:id="19">
    <w:p w14:paraId="56236D21" w14:textId="77777777" w:rsidR="00F17B69" w:rsidRPr="009C66B5" w:rsidRDefault="00F17B69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Vypĺňané automaticky ITMS 2014+. Uvádzajú sa postupne všetky merateľné ukazovatele v zmysle zmluvy o poskytnutí nenávratného finančného príspevku.</w:t>
      </w:r>
    </w:p>
  </w:footnote>
  <w:footnote w:id="20">
    <w:p w14:paraId="56236D22" w14:textId="77777777" w:rsidR="00F17B69" w:rsidRPr="009C66B5" w:rsidRDefault="00F17B69" w:rsidP="005E51A4">
      <w:pPr>
        <w:pStyle w:val="Textpoznmkypodiarou"/>
      </w:pPr>
      <w:r w:rsidRPr="009C66B5">
        <w:rPr>
          <w:rStyle w:val="Odkaznapoznmkupodiarou"/>
        </w:rPr>
        <w:footnoteRef/>
      </w:r>
      <w:r w:rsidRPr="009C66B5">
        <w:rPr>
          <w:sz w:val="18"/>
          <w:szCs w:val="18"/>
        </w:rPr>
        <w:t>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21">
    <w:p w14:paraId="56236D23" w14:textId="77777777" w:rsidR="005E51A4" w:rsidRDefault="005E51A4" w:rsidP="005E51A4">
      <w:pPr>
        <w:pStyle w:val="Textpoznmkypodiarou"/>
      </w:pPr>
      <w:r w:rsidRPr="009C66B5">
        <w:rPr>
          <w:rStyle w:val="Odkaznapoznmkupodiarou"/>
          <w:sz w:val="18"/>
          <w:szCs w:val="18"/>
        </w:rPr>
        <w:footnoteRef/>
      </w:r>
      <w:r w:rsidRPr="009C66B5">
        <w:rPr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 , ďalej o rizikách, ktoré vznikli v súvislosti s realizáciou projektu a opatreniach prijatých na ich elimináciu a iných údajoch týkajúcich sa realizácie projektu(prijímateľ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36D05" w14:textId="2DE3F6E0" w:rsidR="0004107F" w:rsidRPr="0004107F" w:rsidRDefault="00271B26" w:rsidP="0004107F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6236D0B" wp14:editId="73877016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0DE75C" id="Rovná spojnica 4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56236D06" w14:textId="77777777" w:rsidR="0004107F" w:rsidRPr="0004107F" w:rsidRDefault="0004107F" w:rsidP="0004107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579B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61EA9"/>
    <w:rsid w:val="00271B26"/>
    <w:rsid w:val="00274479"/>
    <w:rsid w:val="00282057"/>
    <w:rsid w:val="002A1E17"/>
    <w:rsid w:val="002B4095"/>
    <w:rsid w:val="002B7A90"/>
    <w:rsid w:val="002D0C7E"/>
    <w:rsid w:val="002D2965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46D9D"/>
    <w:rsid w:val="00354FEB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237C"/>
    <w:rsid w:val="003E72A0"/>
    <w:rsid w:val="003E7A8E"/>
    <w:rsid w:val="003F7258"/>
    <w:rsid w:val="00401547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515F1"/>
    <w:rsid w:val="00660DCB"/>
    <w:rsid w:val="00670341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1F30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40BD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37631"/>
    <w:rsid w:val="0084259A"/>
    <w:rsid w:val="0084743A"/>
    <w:rsid w:val="00854A2E"/>
    <w:rsid w:val="008566E2"/>
    <w:rsid w:val="00863E65"/>
    <w:rsid w:val="00865E76"/>
    <w:rsid w:val="008743E6"/>
    <w:rsid w:val="008806AC"/>
    <w:rsid w:val="00883C87"/>
    <w:rsid w:val="00891EDF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33872"/>
    <w:rsid w:val="00944BB0"/>
    <w:rsid w:val="009549F7"/>
    <w:rsid w:val="00957B6F"/>
    <w:rsid w:val="009606FA"/>
    <w:rsid w:val="00977CF6"/>
    <w:rsid w:val="009836CF"/>
    <w:rsid w:val="009B421D"/>
    <w:rsid w:val="009C66B5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C7B0B"/>
    <w:rsid w:val="00AF34B8"/>
    <w:rsid w:val="00AF5DFD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D5181"/>
    <w:rsid w:val="00BE5DFF"/>
    <w:rsid w:val="00BF4803"/>
    <w:rsid w:val="00BF4995"/>
    <w:rsid w:val="00BF7479"/>
    <w:rsid w:val="00C02231"/>
    <w:rsid w:val="00C11731"/>
    <w:rsid w:val="00C13AF9"/>
    <w:rsid w:val="00C141AF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B5E9C"/>
    <w:rsid w:val="00CB6194"/>
    <w:rsid w:val="00CC21DC"/>
    <w:rsid w:val="00CD3D13"/>
    <w:rsid w:val="00CF26E1"/>
    <w:rsid w:val="00CF5379"/>
    <w:rsid w:val="00D0373F"/>
    <w:rsid w:val="00D05350"/>
    <w:rsid w:val="00D434C3"/>
    <w:rsid w:val="00D471C8"/>
    <w:rsid w:val="00D5558B"/>
    <w:rsid w:val="00D61BB6"/>
    <w:rsid w:val="00D660B8"/>
    <w:rsid w:val="00D67B13"/>
    <w:rsid w:val="00D71A7B"/>
    <w:rsid w:val="00D71BDB"/>
    <w:rsid w:val="00D8137B"/>
    <w:rsid w:val="00D86DA2"/>
    <w:rsid w:val="00D900AF"/>
    <w:rsid w:val="00D905DF"/>
    <w:rsid w:val="00D90CF6"/>
    <w:rsid w:val="00D936F7"/>
    <w:rsid w:val="00D94B08"/>
    <w:rsid w:val="00DA321A"/>
    <w:rsid w:val="00DB0798"/>
    <w:rsid w:val="00DB3113"/>
    <w:rsid w:val="00DB798B"/>
    <w:rsid w:val="00DC5D31"/>
    <w:rsid w:val="00DF18AF"/>
    <w:rsid w:val="00E03684"/>
    <w:rsid w:val="00E11626"/>
    <w:rsid w:val="00E21D04"/>
    <w:rsid w:val="00E24188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E6952"/>
    <w:rsid w:val="00EE7018"/>
    <w:rsid w:val="00EE70FE"/>
    <w:rsid w:val="00EF13F8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236CAE"/>
  <w15:docId w15:val="{EDA88510-EE74-4AB9-9F18-8F9153709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51E23FC34FBE4388FBC0FF075D9556" ma:contentTypeVersion="0" ma:contentTypeDescription="Umožňuje vytvoriť nový dokument." ma:contentTypeScope="" ma:versionID="36fd47acfdefb240b1117ee59b18c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52FB-DC22-4FDE-A059-74D4CEDECE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651B2F-B333-4093-B17C-DE0631C9E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7F7EA-90EC-47BF-9FD9-F0C2D8DEBB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5ACB1F-C7C3-41D2-977C-7BE6608D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2015-05-21T08:33:00Z</cp:lastPrinted>
  <dcterms:created xsi:type="dcterms:W3CDTF">2015-08-18T07:54:00Z</dcterms:created>
  <dcterms:modified xsi:type="dcterms:W3CDTF">2015-08-18T07:54:00Z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0x0101006E51E23FC34FBE4388FBC0FF075D9556</vt:lpwstr>
  </property>
</Properties>
</file>