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bookmarkStart w:id="0" w:name="_GoBack"/>
      <w:bookmarkEnd w:id="0"/>
      <w:r>
        <w:rPr>
          <w:noProof/>
          <w:lang w:eastAsia="sk-SK"/>
        </w:rPr>
        <w:drawing>
          <wp:inline distT="0" distB="0" distL="0" distR="0" wp14:anchorId="131C83E3" wp14:editId="47FC68CA">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0"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7B8" w:rsidRDefault="00B767B8">
      <w:r>
        <w:separator/>
      </w:r>
    </w:p>
  </w:endnote>
  <w:endnote w:type="continuationSeparator" w:id="0">
    <w:p w:rsidR="00B767B8" w:rsidRDefault="00B7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7B8" w:rsidRDefault="00B767B8">
      <w:r>
        <w:separator/>
      </w:r>
    </w:p>
  </w:footnote>
  <w:footnote w:type="continuationSeparator" w:id="0">
    <w:p w:rsidR="00B767B8" w:rsidRDefault="00B767B8">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 xml:space="preserve">Príloha </w:t>
    </w:r>
    <w:r w:rsidR="008943C2">
      <w:rPr>
        <w:rFonts w:ascii="Arial Narrow" w:hAnsi="Arial Narrow"/>
        <w:i/>
        <w:sz w:val="20"/>
      </w:rPr>
      <w:t>Ž</w:t>
    </w:r>
    <w:r w:rsidRPr="0005155D">
      <w:rPr>
        <w:rFonts w:ascii="Arial Narrow" w:hAnsi="Arial Narrow"/>
        <w:i/>
        <w:sz w:val="20"/>
      </w:rPr>
      <w:t>o</w:t>
    </w:r>
    <w:r w:rsidR="008943C2">
      <w:rPr>
        <w:rFonts w:ascii="Arial Narrow" w:hAnsi="Arial Narrow"/>
        <w:i/>
        <w:sz w:val="20"/>
      </w:rPr>
      <w:t>N</w:t>
    </w:r>
    <w:r w:rsidRPr="0005155D">
      <w:rPr>
        <w:rFonts w:ascii="Arial Narrow" w:hAnsi="Arial Narrow"/>
        <w:i/>
        <w:sz w:val="20"/>
      </w:rPr>
      <w:t xml:space="preserve">FP č. </w:t>
    </w:r>
    <w:r w:rsidR="00D20F4C">
      <w:rPr>
        <w:rFonts w:ascii="Arial Narrow" w:hAnsi="Arial Narrow"/>
        <w:i/>
        <w:sz w:val="20"/>
      </w:rPr>
      <w:t>7</w:t>
    </w:r>
    <w:r w:rsidR="008943C2">
      <w:rPr>
        <w:rFonts w:ascii="Arial Narrow" w:hAnsi="Arial Narrow"/>
        <w:i/>
        <w:sz w:val="20"/>
      </w:rPr>
      <w:t xml:space="preserve"> </w:t>
    </w:r>
    <w:r w:rsidRPr="0005155D">
      <w:rPr>
        <w:rFonts w:ascii="Arial Narrow" w:hAnsi="Arial Narrow"/>
        <w:i/>
        <w:sz w:val="20"/>
      </w:rPr>
      <w:t>–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155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0F504A"/>
    <w:rsid w:val="00107A7D"/>
    <w:rsid w:val="00117751"/>
    <w:rsid w:val="00123D5E"/>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4480"/>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5030A"/>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5819"/>
    <w:rsid w:val="006F7482"/>
    <w:rsid w:val="007064F2"/>
    <w:rsid w:val="007144E5"/>
    <w:rsid w:val="00714A4D"/>
    <w:rsid w:val="0072432E"/>
    <w:rsid w:val="00724849"/>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801BC"/>
    <w:rsid w:val="008943C2"/>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1CE"/>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AF56F9"/>
    <w:rsid w:val="00B03A93"/>
    <w:rsid w:val="00B111E0"/>
    <w:rsid w:val="00B118D8"/>
    <w:rsid w:val="00B15480"/>
    <w:rsid w:val="00B17385"/>
    <w:rsid w:val="00B43180"/>
    <w:rsid w:val="00B45838"/>
    <w:rsid w:val="00B52B0E"/>
    <w:rsid w:val="00B629B6"/>
    <w:rsid w:val="00B65403"/>
    <w:rsid w:val="00B767B8"/>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5227"/>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5A0B"/>
    <w:rsid w:val="00CF0C09"/>
    <w:rsid w:val="00CF19E7"/>
    <w:rsid w:val="00CF1C7A"/>
    <w:rsid w:val="00CF2D82"/>
    <w:rsid w:val="00CF4ED7"/>
    <w:rsid w:val="00D03B15"/>
    <w:rsid w:val="00D051C5"/>
    <w:rsid w:val="00D06F5B"/>
    <w:rsid w:val="00D165E1"/>
    <w:rsid w:val="00D20F4C"/>
    <w:rsid w:val="00D25C78"/>
    <w:rsid w:val="00D26360"/>
    <w:rsid w:val="00D336DA"/>
    <w:rsid w:val="00D33BD8"/>
    <w:rsid w:val="00D42524"/>
    <w:rsid w:val="00D56DBE"/>
    <w:rsid w:val="00D63B4B"/>
    <w:rsid w:val="00D6639E"/>
    <w:rsid w:val="00D670A5"/>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2CE0"/>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9267B-AF5C-46FB-87DE-DDB3D24F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527</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MŽP SR</dc:creator>
  <cp:lastModifiedBy>Bednár Štefan</cp:lastModifiedBy>
  <cp:revision>2</cp:revision>
  <cp:lastPrinted>2014-10-16T08:31:00Z</cp:lastPrinted>
  <dcterms:created xsi:type="dcterms:W3CDTF">2015-09-11T11:01:00Z</dcterms:created>
  <dcterms:modified xsi:type="dcterms:W3CDTF">2015-09-11T11:01:00Z</dcterms:modified>
</cp:coreProperties>
</file>