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F" w:rsidRPr="006479DF" w:rsidRDefault="006D3D52" w:rsidP="00344DF9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8891270" cy="53721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lavicka_A4_na_sirku_k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6F5" w:rsidRDefault="00EA76F5" w:rsidP="0004107F">
      <w:pPr>
        <w:jc w:val="center"/>
        <w:rPr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EA76F5" w:rsidRPr="005E51A4" w:rsidTr="00714388">
        <w:trPr>
          <w:cantSplit/>
          <w:trHeight w:val="680"/>
        </w:trPr>
        <w:tc>
          <w:tcPr>
            <w:tcW w:w="14142" w:type="dxa"/>
            <w:shd w:val="clear" w:color="auto" w:fill="B2A1C7" w:themeFill="accent4" w:themeFillTint="99"/>
          </w:tcPr>
          <w:p w:rsidR="00EA76F5" w:rsidRPr="005E51A4" w:rsidRDefault="00EA76F5" w:rsidP="00A74189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EA76F5" w:rsidRDefault="00EA76F5" w:rsidP="00EA76F5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56"/>
        <w:gridCol w:w="10636"/>
      </w:tblGrid>
      <w:tr w:rsidR="00EA76F5" w:rsidTr="00A74189">
        <w:tc>
          <w:tcPr>
            <w:tcW w:w="14142" w:type="dxa"/>
            <w:gridSpan w:val="2"/>
            <w:shd w:val="clear" w:color="auto" w:fill="FABF8F" w:themeFill="accent6" w:themeFillTint="99"/>
          </w:tcPr>
          <w:p w:rsidR="00EA76F5" w:rsidRPr="009E556C" w:rsidRDefault="00EA76F5" w:rsidP="00A74189">
            <w:pPr>
              <w:pStyle w:val="Odsekzoznamu"/>
              <w:numPr>
                <w:ilvl w:val="0"/>
                <w:numId w:val="8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 w:rsidRPr="00CC5737">
              <w:rPr>
                <w:rStyle w:val="Odkaznapoznmkupodiarou"/>
                <w:sz w:val="28"/>
              </w:rPr>
              <w:footnoteReference w:id="2"/>
            </w:r>
          </w:p>
        </w:tc>
      </w:tr>
      <w:tr w:rsidR="00EA76F5" w:rsidTr="00A74189">
        <w:tc>
          <w:tcPr>
            <w:tcW w:w="3369" w:type="dxa"/>
            <w:shd w:val="clear" w:color="auto" w:fill="D9D9D9" w:themeFill="background1" w:themeFillShade="D9"/>
          </w:tcPr>
          <w:p w:rsidR="00EA76F5" w:rsidRPr="009357A3" w:rsidRDefault="00EA76F5" w:rsidP="00A74189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10773" w:type="dxa"/>
          </w:tcPr>
          <w:p w:rsidR="00EA76F5" w:rsidRDefault="00EA76F5" w:rsidP="00A74189"/>
        </w:tc>
      </w:tr>
      <w:tr w:rsidR="00EA76F5" w:rsidTr="00A74189">
        <w:tc>
          <w:tcPr>
            <w:tcW w:w="3369" w:type="dxa"/>
            <w:shd w:val="clear" w:color="auto" w:fill="D9D9D9" w:themeFill="background1" w:themeFillShade="D9"/>
          </w:tcPr>
          <w:p w:rsidR="00EA76F5" w:rsidRPr="009357A3" w:rsidRDefault="00EA76F5" w:rsidP="00A74189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  <w:r>
              <w:rPr>
                <w:b/>
              </w:rPr>
              <w:t>2014+</w:t>
            </w:r>
          </w:p>
        </w:tc>
        <w:tc>
          <w:tcPr>
            <w:tcW w:w="10773" w:type="dxa"/>
          </w:tcPr>
          <w:p w:rsidR="00EA76F5" w:rsidRDefault="00EA76F5" w:rsidP="00A74189"/>
        </w:tc>
      </w:tr>
      <w:tr w:rsidR="00EA76F5" w:rsidTr="00A74189">
        <w:tc>
          <w:tcPr>
            <w:tcW w:w="3369" w:type="dxa"/>
            <w:shd w:val="clear" w:color="auto" w:fill="D9D9D9" w:themeFill="background1" w:themeFillShade="D9"/>
          </w:tcPr>
          <w:p w:rsidR="00EA76F5" w:rsidRPr="009357A3" w:rsidRDefault="00EA76F5" w:rsidP="00A74189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10773" w:type="dxa"/>
          </w:tcPr>
          <w:p w:rsidR="00EA76F5" w:rsidRDefault="00EA76F5" w:rsidP="00A74189"/>
        </w:tc>
      </w:tr>
      <w:tr w:rsidR="00EA76F5" w:rsidTr="00A74189">
        <w:tc>
          <w:tcPr>
            <w:tcW w:w="3369" w:type="dxa"/>
            <w:shd w:val="clear" w:color="auto" w:fill="D9D9D9" w:themeFill="background1" w:themeFillShade="D9"/>
          </w:tcPr>
          <w:p w:rsidR="00EA76F5" w:rsidRPr="009357A3" w:rsidRDefault="00EA76F5" w:rsidP="00A74189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10773" w:type="dxa"/>
          </w:tcPr>
          <w:p w:rsidR="00EA76F5" w:rsidRDefault="00EA76F5" w:rsidP="00A74189"/>
        </w:tc>
      </w:tr>
      <w:tr w:rsidR="00EA76F5" w:rsidTr="00A74189">
        <w:tc>
          <w:tcPr>
            <w:tcW w:w="3369" w:type="dxa"/>
            <w:shd w:val="clear" w:color="auto" w:fill="D9D9D9" w:themeFill="background1" w:themeFillShade="D9"/>
          </w:tcPr>
          <w:p w:rsidR="00EA76F5" w:rsidRPr="009357A3" w:rsidRDefault="00EA76F5" w:rsidP="00A74189">
            <w:pPr>
              <w:rPr>
                <w:b/>
              </w:rPr>
            </w:pPr>
            <w:r>
              <w:rPr>
                <w:b/>
              </w:rPr>
              <w:t xml:space="preserve">Riadiaci orgán </w:t>
            </w:r>
          </w:p>
        </w:tc>
        <w:tc>
          <w:tcPr>
            <w:tcW w:w="10773" w:type="dxa"/>
          </w:tcPr>
          <w:p w:rsidR="00EA76F5" w:rsidRDefault="00EA76F5" w:rsidP="00A74189"/>
        </w:tc>
      </w:tr>
      <w:tr w:rsidR="00EA76F5" w:rsidTr="00A74189">
        <w:tc>
          <w:tcPr>
            <w:tcW w:w="3369" w:type="dxa"/>
            <w:shd w:val="clear" w:color="auto" w:fill="D9D9D9" w:themeFill="background1" w:themeFillShade="D9"/>
          </w:tcPr>
          <w:p w:rsidR="00EA76F5" w:rsidRPr="009357A3" w:rsidRDefault="00EA76F5" w:rsidP="00A74189">
            <w:pPr>
              <w:rPr>
                <w:b/>
              </w:rPr>
            </w:pPr>
            <w:r>
              <w:rPr>
                <w:b/>
              </w:rPr>
              <w:t>Sprostredkovateľský orgán</w:t>
            </w:r>
          </w:p>
        </w:tc>
        <w:tc>
          <w:tcPr>
            <w:tcW w:w="10773" w:type="dxa"/>
          </w:tcPr>
          <w:p w:rsidR="00EA76F5" w:rsidRDefault="00EA76F5" w:rsidP="00A74189"/>
        </w:tc>
      </w:tr>
    </w:tbl>
    <w:p w:rsidR="00EA76F5" w:rsidRPr="005E51A4" w:rsidRDefault="00EA76F5" w:rsidP="00EA76F5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491"/>
        <w:gridCol w:w="1700"/>
        <w:gridCol w:w="1402"/>
        <w:gridCol w:w="1682"/>
        <w:gridCol w:w="1822"/>
        <w:gridCol w:w="1818"/>
        <w:gridCol w:w="2775"/>
      </w:tblGrid>
      <w:tr w:rsidR="00EA76F5" w:rsidRPr="005E51A4" w:rsidTr="00A74189">
        <w:tc>
          <w:tcPr>
            <w:tcW w:w="14142" w:type="dxa"/>
            <w:gridSpan w:val="8"/>
            <w:shd w:val="clear" w:color="auto" w:fill="FABF8F" w:themeFill="accent6" w:themeFillTint="99"/>
          </w:tcPr>
          <w:p w:rsidR="00EA76F5" w:rsidRPr="005E51A4" w:rsidRDefault="00EA76F5" w:rsidP="00A74189">
            <w:r w:rsidRPr="005E51A4">
              <w:rPr>
                <w:b/>
                <w:sz w:val="28"/>
              </w:rPr>
              <w:t xml:space="preserve">     </w:t>
            </w:r>
            <w:r>
              <w:rPr>
                <w:b/>
                <w:sz w:val="28"/>
              </w:rPr>
              <w:t>2</w:t>
            </w:r>
            <w:r w:rsidRPr="005E51A4">
              <w:rPr>
                <w:b/>
                <w:sz w:val="28"/>
              </w:rPr>
              <w:t>. Vzťah aktivít a merateľných ukazovateľov projektu</w:t>
            </w:r>
          </w:p>
        </w:tc>
      </w:tr>
      <w:tr w:rsidR="00EA76F5" w:rsidRPr="005E51A4" w:rsidTr="00714388">
        <w:trPr>
          <w:cantSplit/>
          <w:trHeight w:val="737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714388">
            <w:pPr>
              <w:jc w:val="center"/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BC016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CC5737">
              <w:rPr>
                <w:vertAlign w:val="superscript"/>
              </w:rPr>
              <w:footnoteReference w:id="3"/>
            </w:r>
          </w:p>
        </w:tc>
        <w:tc>
          <w:tcPr>
            <w:tcW w:w="1706" w:type="dxa"/>
            <w:shd w:val="clear" w:color="auto" w:fill="D9D9D9" w:themeFill="background1" w:themeFillShade="D9"/>
            <w:vAlign w:val="center"/>
          </w:tcPr>
          <w:p w:rsidR="00EA76F5" w:rsidRPr="005E51A4" w:rsidRDefault="00EA76F5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CC5737">
              <w:rPr>
                <w:vertAlign w:val="superscript"/>
              </w:rPr>
              <w:footnoteReference w:id="4"/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A76F5" w:rsidRPr="005E51A4" w:rsidRDefault="00EA76F5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CC5737">
              <w:rPr>
                <w:vertAlign w:val="superscript"/>
              </w:rPr>
              <w:footnoteReference w:id="5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A76F5" w:rsidRPr="005E51A4" w:rsidRDefault="00EA76F5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CC5737">
              <w:rPr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266185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CC5737">
              <w:rPr>
                <w:vertAlign w:val="superscript"/>
              </w:rPr>
              <w:footnoteReference w:id="7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266185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CC5737">
              <w:rPr>
                <w:vertAlign w:val="superscript"/>
              </w:rPr>
              <w:footnoteReference w:id="8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EA76F5" w:rsidRPr="005E51A4" w:rsidRDefault="00EA76F5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EA76F5" w:rsidRPr="005E51A4" w:rsidRDefault="00EA76F5">
            <w:pPr>
              <w:jc w:val="center"/>
            </w:pPr>
            <w:r w:rsidRPr="005E51A4">
              <w:rPr>
                <w:b/>
              </w:rPr>
              <w:t>(v %)</w:t>
            </w:r>
            <w:r w:rsidRPr="00CC5737">
              <w:rPr>
                <w:vertAlign w:val="superscript"/>
              </w:rPr>
              <w:footnoteReference w:id="9"/>
            </w:r>
          </w:p>
        </w:tc>
      </w:tr>
      <w:tr w:rsidR="00EA76F5" w:rsidRPr="005E51A4" w:rsidTr="00714388">
        <w:trPr>
          <w:cantSplit/>
          <w:trHeight w:val="340"/>
        </w:trPr>
        <w:tc>
          <w:tcPr>
            <w:tcW w:w="1304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  <w:vAlign w:val="center"/>
          </w:tcPr>
          <w:p w:rsidR="00EA76F5" w:rsidRPr="005E51A4" w:rsidRDefault="00EA76F5" w:rsidP="00A74189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EA76F5" w:rsidRPr="005E51A4" w:rsidTr="00A74189">
        <w:tc>
          <w:tcPr>
            <w:tcW w:w="1304" w:type="dxa"/>
          </w:tcPr>
          <w:p w:rsidR="00EA76F5" w:rsidRPr="005E51A4" w:rsidRDefault="00EA76F5" w:rsidP="00A74189">
            <w:pPr>
              <w:jc w:val="center"/>
            </w:pPr>
            <w:r w:rsidRPr="005E51A4">
              <w:lastRenderedPageBreak/>
              <w:t>Aktivita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493" w:type="dxa"/>
          </w:tcPr>
          <w:p w:rsidR="00EA76F5" w:rsidRPr="005E51A4" w:rsidRDefault="00EA76F5" w:rsidP="00A74189"/>
        </w:tc>
        <w:tc>
          <w:tcPr>
            <w:tcW w:w="1706" w:type="dxa"/>
          </w:tcPr>
          <w:p w:rsidR="00EA76F5" w:rsidRPr="005E51A4" w:rsidRDefault="00EA76F5" w:rsidP="00A74189"/>
        </w:tc>
        <w:tc>
          <w:tcPr>
            <w:tcW w:w="1417" w:type="dxa"/>
          </w:tcPr>
          <w:p w:rsidR="00EA76F5" w:rsidRPr="005E51A4" w:rsidRDefault="00EA76F5" w:rsidP="00A74189"/>
        </w:tc>
        <w:tc>
          <w:tcPr>
            <w:tcW w:w="1701" w:type="dxa"/>
          </w:tcPr>
          <w:p w:rsidR="00EA76F5" w:rsidRPr="005E51A4" w:rsidRDefault="00EA76F5" w:rsidP="00A74189"/>
        </w:tc>
        <w:tc>
          <w:tcPr>
            <w:tcW w:w="1843" w:type="dxa"/>
          </w:tcPr>
          <w:p w:rsidR="00EA76F5" w:rsidRPr="005E51A4" w:rsidRDefault="00EA76F5" w:rsidP="00A74189"/>
        </w:tc>
        <w:tc>
          <w:tcPr>
            <w:tcW w:w="1843" w:type="dxa"/>
          </w:tcPr>
          <w:p w:rsidR="00EA76F5" w:rsidRPr="005E51A4" w:rsidRDefault="00EA76F5" w:rsidP="00A74189"/>
        </w:tc>
        <w:tc>
          <w:tcPr>
            <w:tcW w:w="2835" w:type="dxa"/>
          </w:tcPr>
          <w:p w:rsidR="00EA76F5" w:rsidRPr="005E51A4" w:rsidRDefault="00EA76F5" w:rsidP="00A74189"/>
        </w:tc>
      </w:tr>
      <w:tr w:rsidR="00EA76F5" w:rsidRPr="005E51A4" w:rsidTr="00A74189">
        <w:tc>
          <w:tcPr>
            <w:tcW w:w="1304" w:type="dxa"/>
          </w:tcPr>
          <w:p w:rsidR="00EA76F5" w:rsidRPr="005E51A4" w:rsidRDefault="00EA76F5" w:rsidP="00A74189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1"/>
            </w:r>
          </w:p>
        </w:tc>
        <w:tc>
          <w:tcPr>
            <w:tcW w:w="12838" w:type="dxa"/>
            <w:gridSpan w:val="7"/>
          </w:tcPr>
          <w:p w:rsidR="00EA76F5" w:rsidRPr="005E51A4" w:rsidRDefault="00EA76F5" w:rsidP="00A74189"/>
        </w:tc>
      </w:tr>
    </w:tbl>
    <w:p w:rsidR="00EA76F5" w:rsidRPr="005E51A4" w:rsidRDefault="00EA76F5" w:rsidP="00EA76F5">
      <w:pPr>
        <w:rPr>
          <w:b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680"/>
        <w:gridCol w:w="2371"/>
        <w:gridCol w:w="1818"/>
        <w:gridCol w:w="1963"/>
        <w:gridCol w:w="1825"/>
        <w:gridCol w:w="1960"/>
        <w:gridCol w:w="2375"/>
      </w:tblGrid>
      <w:tr w:rsidR="00EA76F5" w:rsidRPr="005E51A4" w:rsidTr="00714388">
        <w:trPr>
          <w:jc w:val="center"/>
        </w:trPr>
        <w:tc>
          <w:tcPr>
            <w:tcW w:w="14142" w:type="dxa"/>
            <w:gridSpan w:val="7"/>
            <w:shd w:val="clear" w:color="auto" w:fill="FABF8F" w:themeFill="accent6" w:themeFillTint="99"/>
          </w:tcPr>
          <w:p w:rsidR="00EA76F5" w:rsidRPr="005E51A4" w:rsidRDefault="00EA76F5" w:rsidP="00A74189">
            <w:r w:rsidRPr="005E51A4">
              <w:rPr>
                <w:b/>
                <w:sz w:val="28"/>
              </w:rPr>
              <w:t xml:space="preserve">     </w:t>
            </w:r>
            <w:r>
              <w:rPr>
                <w:b/>
                <w:sz w:val="28"/>
              </w:rPr>
              <w:t>3</w:t>
            </w:r>
            <w:r w:rsidRPr="005E51A4">
              <w:rPr>
                <w:b/>
                <w:sz w:val="28"/>
              </w:rPr>
              <w:t>. Kumulatívne naplnenie merateľných ukazovateľov</w:t>
            </w:r>
            <w:r w:rsidRPr="00CC5737">
              <w:rPr>
                <w:sz w:val="28"/>
                <w:vertAlign w:val="superscript"/>
              </w:rPr>
              <w:footnoteReference w:id="12"/>
            </w:r>
          </w:p>
        </w:tc>
      </w:tr>
      <w:tr w:rsidR="00EA76F5" w:rsidRPr="005E51A4" w:rsidTr="00714388">
        <w:trPr>
          <w:trHeight w:val="1012"/>
          <w:jc w:val="center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714388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CC5737">
              <w:rPr>
                <w:vertAlign w:val="superscript"/>
              </w:rPr>
              <w:footnoteReference w:id="13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CC5737">
              <w:rPr>
                <w:vertAlign w:val="superscript"/>
              </w:rPr>
              <w:footnoteReference w:id="14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CC5737">
              <w:rPr>
                <w:vertAlign w:val="superscript"/>
              </w:rPr>
              <w:footnoteReference w:id="15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CC5737">
              <w:rPr>
                <w:vertAlign w:val="superscript"/>
              </w:rPr>
              <w:footnoteReference w:id="16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266185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CC5737">
              <w:rPr>
                <w:vertAlign w:val="superscript"/>
              </w:rPr>
              <w:footnoteReference w:id="17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A74189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CC5737">
              <w:rPr>
                <w:rStyle w:val="Odkaznapoznmkupodiarou"/>
              </w:rPr>
              <w:footnoteReference w:id="18"/>
            </w:r>
            <w:r w:rsidRPr="00CC5737">
              <w:rPr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EA76F5" w:rsidRPr="005E51A4" w:rsidRDefault="00EA76F5" w:rsidP="00A74189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EA76F5" w:rsidRPr="005E51A4" w:rsidRDefault="00EA76F5" w:rsidP="00A74189">
            <w:pPr>
              <w:jc w:val="center"/>
            </w:pPr>
            <w:r w:rsidRPr="005E51A4">
              <w:rPr>
                <w:b/>
              </w:rPr>
              <w:t>(v %)</w:t>
            </w:r>
            <w:r w:rsidRPr="00CC5737">
              <w:rPr>
                <w:vertAlign w:val="superscript"/>
              </w:rPr>
              <w:footnoteReference w:id="19"/>
            </w:r>
          </w:p>
        </w:tc>
      </w:tr>
      <w:tr w:rsidR="00EA76F5" w:rsidRPr="005E51A4" w:rsidTr="00714388">
        <w:trPr>
          <w:jc w:val="center"/>
        </w:trPr>
        <w:tc>
          <w:tcPr>
            <w:tcW w:w="1680" w:type="dxa"/>
            <w:vAlign w:val="center"/>
          </w:tcPr>
          <w:p w:rsidR="00EA76F5" w:rsidRPr="00CC21DC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EA76F5" w:rsidRPr="00CC21DC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EA76F5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EA76F5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EA76F5" w:rsidRPr="00CC21DC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EA76F5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EA76F5" w:rsidRPr="00CC21DC" w:rsidRDefault="00EA76F5" w:rsidP="00A74189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EA76F5" w:rsidRPr="005E51A4" w:rsidTr="00714388">
        <w:trPr>
          <w:jc w:val="center"/>
        </w:trPr>
        <w:tc>
          <w:tcPr>
            <w:tcW w:w="1680" w:type="dxa"/>
          </w:tcPr>
          <w:p w:rsidR="00EA76F5" w:rsidRPr="005E51A4" w:rsidRDefault="00EA76F5" w:rsidP="00A74189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2397" w:type="dxa"/>
          </w:tcPr>
          <w:p w:rsidR="00EA76F5" w:rsidRPr="005E51A4" w:rsidRDefault="00EA76F5" w:rsidP="00A74189"/>
        </w:tc>
        <w:tc>
          <w:tcPr>
            <w:tcW w:w="1843" w:type="dxa"/>
          </w:tcPr>
          <w:p w:rsidR="00EA76F5" w:rsidRPr="005E51A4" w:rsidRDefault="00EA76F5" w:rsidP="00A74189"/>
        </w:tc>
        <w:tc>
          <w:tcPr>
            <w:tcW w:w="1985" w:type="dxa"/>
          </w:tcPr>
          <w:p w:rsidR="00EA76F5" w:rsidRPr="005E51A4" w:rsidRDefault="00EA76F5" w:rsidP="00A74189"/>
        </w:tc>
        <w:tc>
          <w:tcPr>
            <w:tcW w:w="1842" w:type="dxa"/>
          </w:tcPr>
          <w:p w:rsidR="00EA76F5" w:rsidRPr="005E51A4" w:rsidRDefault="00EA76F5" w:rsidP="00A74189"/>
        </w:tc>
        <w:tc>
          <w:tcPr>
            <w:tcW w:w="1985" w:type="dxa"/>
          </w:tcPr>
          <w:p w:rsidR="00EA76F5" w:rsidRPr="005E51A4" w:rsidRDefault="00EA76F5" w:rsidP="00A74189"/>
        </w:tc>
        <w:tc>
          <w:tcPr>
            <w:tcW w:w="2410" w:type="dxa"/>
          </w:tcPr>
          <w:p w:rsidR="00EA76F5" w:rsidRPr="005E51A4" w:rsidRDefault="00EA76F5" w:rsidP="00A74189"/>
        </w:tc>
      </w:tr>
      <w:tr w:rsidR="00EA76F5" w:rsidRPr="005E51A4" w:rsidTr="00714388">
        <w:trPr>
          <w:jc w:val="center"/>
        </w:trPr>
        <w:tc>
          <w:tcPr>
            <w:tcW w:w="1680" w:type="dxa"/>
          </w:tcPr>
          <w:p w:rsidR="00EA76F5" w:rsidRPr="005E51A4" w:rsidRDefault="00EA76F5" w:rsidP="00A74189">
            <w:pPr>
              <w:jc w:val="center"/>
            </w:pPr>
            <w:r w:rsidRPr="005E51A4">
              <w:t>Poznámky k merateľnému</w:t>
            </w:r>
          </w:p>
          <w:p w:rsidR="00EA76F5" w:rsidRPr="005E51A4" w:rsidRDefault="00EA76F5" w:rsidP="00A74189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1"/>
            </w:r>
          </w:p>
        </w:tc>
        <w:tc>
          <w:tcPr>
            <w:tcW w:w="12462" w:type="dxa"/>
            <w:gridSpan w:val="6"/>
          </w:tcPr>
          <w:p w:rsidR="00EA76F5" w:rsidRPr="005E51A4" w:rsidRDefault="00EA76F5" w:rsidP="00A74189"/>
        </w:tc>
      </w:tr>
    </w:tbl>
    <w:p w:rsidR="00EA76F5" w:rsidRPr="005E51A4" w:rsidRDefault="00EA76F5" w:rsidP="00EA76F5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0"/>
      </w:tblGrid>
      <w:tr w:rsidR="00EA76F5" w:rsidRPr="005E51A4" w:rsidTr="00A74189">
        <w:tc>
          <w:tcPr>
            <w:tcW w:w="5000" w:type="pct"/>
            <w:shd w:val="clear" w:color="auto" w:fill="FABF8F" w:themeFill="accent6" w:themeFillTint="99"/>
          </w:tcPr>
          <w:p w:rsidR="00EA76F5" w:rsidRPr="005E51A4" w:rsidRDefault="00EA76F5" w:rsidP="00BC016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lastRenderedPageBreak/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v súvislosti s realizáciou projektu</w:t>
            </w:r>
            <w:r w:rsidRPr="00CC5737">
              <w:rPr>
                <w:sz w:val="28"/>
                <w:shd w:val="clear" w:color="auto" w:fill="FABF8F" w:themeFill="accent6" w:themeFillTint="99"/>
                <w:vertAlign w:val="superscript"/>
              </w:rPr>
              <w:footnoteReference w:id="22"/>
            </w:r>
          </w:p>
        </w:tc>
      </w:tr>
      <w:tr w:rsidR="00EA76F5" w:rsidRPr="005E51A4" w:rsidTr="00A74189">
        <w:tc>
          <w:tcPr>
            <w:tcW w:w="5000" w:type="pct"/>
          </w:tcPr>
          <w:p w:rsidR="00EA76F5" w:rsidRPr="005E51A4" w:rsidRDefault="00EA76F5" w:rsidP="00A74189">
            <w:pPr>
              <w:rPr>
                <w:b/>
              </w:rPr>
            </w:pPr>
          </w:p>
        </w:tc>
      </w:tr>
    </w:tbl>
    <w:p w:rsidR="00EA76F5" w:rsidRPr="005E51A4" w:rsidRDefault="00EA76F5" w:rsidP="00EA76F5"/>
    <w:p w:rsidR="00EA76F5" w:rsidRPr="006479DF" w:rsidRDefault="00EA76F5" w:rsidP="0004107F">
      <w:pPr>
        <w:jc w:val="center"/>
        <w:rPr>
          <w:sz w:val="20"/>
          <w:szCs w:val="20"/>
        </w:rPr>
      </w:pPr>
    </w:p>
    <w:sectPr w:rsidR="00EA76F5" w:rsidRPr="006479DF" w:rsidSect="00714388">
      <w:headerReference w:type="default" r:id="rId9"/>
      <w:headerReference w:type="first" r:id="rId10"/>
      <w:footerReference w:type="first" r:id="rId11"/>
      <w:pgSz w:w="16838" w:h="11906" w:orient="landscape" w:code="9"/>
      <w:pgMar w:top="992" w:right="1418" w:bottom="1418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E67" w:rsidRDefault="00B76E67" w:rsidP="00B948E0">
      <w:r>
        <w:separator/>
      </w:r>
    </w:p>
  </w:endnote>
  <w:endnote w:type="continuationSeparator" w:id="0">
    <w:p w:rsidR="00B76E67" w:rsidRDefault="00B76E6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EA76F5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61EA36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986DBC" w:rsidRPr="0004107F">
          <w:fldChar w:fldCharType="begin"/>
        </w:r>
        <w:r w:rsidRPr="0004107F">
          <w:instrText>PAGE   \* MERGEFORMAT</w:instrText>
        </w:r>
        <w:r w:rsidR="00986DBC" w:rsidRPr="0004107F">
          <w:fldChar w:fldCharType="separate"/>
        </w:r>
        <w:r w:rsidR="00714388">
          <w:rPr>
            <w:noProof/>
          </w:rPr>
          <w:t>1</w:t>
        </w:r>
        <w:r w:rsidR="00986DBC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E67" w:rsidRDefault="00B76E67" w:rsidP="00B948E0">
      <w:r>
        <w:separator/>
      </w:r>
    </w:p>
  </w:footnote>
  <w:footnote w:type="continuationSeparator" w:id="0">
    <w:p w:rsidR="00B76E67" w:rsidRDefault="00B76E67" w:rsidP="00B948E0">
      <w:r>
        <w:continuationSeparator/>
      </w:r>
    </w:p>
  </w:footnote>
  <w:footnote w:id="1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Prijímateľ predkladá predmetnú prílohu v prípade, ak nepredložil žiadnu žiadosť o platbu -  zúčtovanie zálohovej platby, priebežnú platbu a poskytnutie </w:t>
      </w:r>
      <w:proofErr w:type="spellStart"/>
      <w:r w:rsidRPr="00266185">
        <w:rPr>
          <w:rFonts w:ascii="Arial Narrow" w:hAnsi="Arial Narrow"/>
          <w:sz w:val="18"/>
          <w:szCs w:val="18"/>
        </w:rPr>
        <w:t>predfinancovania</w:t>
      </w:r>
      <w:proofErr w:type="spellEnd"/>
      <w:r w:rsidRPr="00266185">
        <w:rPr>
          <w:rFonts w:ascii="Arial Narrow" w:hAnsi="Arial Narrow"/>
          <w:sz w:val="18"/>
          <w:szCs w:val="18"/>
        </w:rPr>
        <w:t xml:space="preserve"> do šiestich mesiacov od nadobudnutia účinnosti zmluvy o poskytnutí NFP a zároveň ešte neboli naplnené podmienky na zaslanie monitorovacej správy projektu (s príznakom </w:t>
      </w:r>
      <w:r w:rsidR="00266185">
        <w:rPr>
          <w:rFonts w:ascii="Arial Narrow" w:hAnsi="Arial Narrow"/>
          <w:sz w:val="18"/>
          <w:szCs w:val="18"/>
        </w:rPr>
        <w:t>„</w:t>
      </w:r>
      <w:r w:rsidRPr="00266185">
        <w:rPr>
          <w:rFonts w:ascii="Arial Narrow" w:hAnsi="Arial Narrow"/>
          <w:sz w:val="18"/>
          <w:szCs w:val="18"/>
        </w:rPr>
        <w:t xml:space="preserve">výročná“), príp. ak </w:t>
      </w:r>
      <w:r w:rsidR="00725C2C" w:rsidRPr="00266185">
        <w:rPr>
          <w:rFonts w:ascii="Arial Narrow" w:hAnsi="Arial Narrow"/>
          <w:sz w:val="18"/>
          <w:szCs w:val="18"/>
        </w:rPr>
        <w:t>Poskytovateľ</w:t>
      </w:r>
      <w:r w:rsidRPr="00266185">
        <w:rPr>
          <w:rFonts w:ascii="Arial Narrow" w:hAnsi="Arial Narrow"/>
          <w:sz w:val="18"/>
          <w:szCs w:val="18"/>
        </w:rPr>
        <w:t xml:space="preserve"> o takéto informácie požiada. </w:t>
      </w:r>
    </w:p>
  </w:footnote>
  <w:footnote w:id="2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Vypĺňané automaticky ITMS2014+. </w:t>
      </w:r>
    </w:p>
  </w:footnote>
  <w:footnote w:id="3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Uvádzajú sa kódy a názvy merateľných ukazovateľov vo vzťahu k daným hlavným aktivitám v zmysle zmluvy o poskytnutí nenávratného finančného príspevku.</w:t>
      </w:r>
    </w:p>
  </w:footnote>
  <w:footnote w:id="4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 sa relevancia merateľného ukazovateľa k horizontálnemu princípu v zmysle zmluvy o poskytnutí nenávratného finančného príspevku.</w:t>
      </w:r>
    </w:p>
  </w:footnote>
  <w:footnote w:id="5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6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 sa merná jednotka v zmysle zmluvy o poskytnutí nenávratného finančného príspevku.</w:t>
      </w:r>
    </w:p>
  </w:footnote>
  <w:footnote w:id="7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Vypĺňané automaticky ITMS2014+. Uvádza sa plánovaný stav merateľného ukazovateľa v zmysle zmluvy o poskytnutí nenávratného finančného príspevku. </w:t>
      </w:r>
    </w:p>
  </w:footnote>
  <w:footnote w:id="8">
    <w:p w:rsidR="00EA76F5" w:rsidRPr="00266185" w:rsidRDefault="00EA76F5" w:rsidP="00725C2C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Uvádza sa kumulatívna hodnota merateľného ukazovateľa nameraná vo vzťahu k aktivite projektu ku dňu uplynutia šesťmesačnej lehoty, t.j. súhrnná hodnota od začiatku realizácie projektu do uplynutia šesťmesačnej lehoty, príp. do času, ktorý určí </w:t>
      </w:r>
      <w:r w:rsidR="00725C2C" w:rsidRPr="00266185">
        <w:rPr>
          <w:rFonts w:ascii="Arial Narrow" w:hAnsi="Arial Narrow"/>
          <w:sz w:val="18"/>
          <w:szCs w:val="18"/>
        </w:rPr>
        <w:t>Poskytovateľ</w:t>
      </w:r>
      <w:r w:rsidRPr="00266185">
        <w:rPr>
          <w:rFonts w:ascii="Arial Narrow" w:hAnsi="Arial Narrow"/>
          <w:sz w:val="18"/>
          <w:szCs w:val="18"/>
        </w:rPr>
        <w:t xml:space="preserve">. </w:t>
      </w:r>
    </w:p>
  </w:footnote>
  <w:footnote w:id="9">
    <w:p w:rsidR="00EA76F5" w:rsidRPr="00266185" w:rsidRDefault="00EA76F5" w:rsidP="00714388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Pomer skutočného stavu (stĺpe č. 7) k plánovanému stavu (stĺpec č. 6) merateľného ukazovateľa aktivity projektu v percentuálnom vyjadrení.</w:t>
      </w:r>
    </w:p>
  </w:footnote>
  <w:footnote w:id="10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Vypĺňané automaticky ITMS 2014+. Uvádzajú sa postupne všetky hlavné aktivity v zmysle zmluvy o poskytnutí nenávratného finančného príspevku. V prípade, ak aktivita prispieva k napĺňaniu viacerých merateľných ukazovateľov uvedie sa viackrát tá istá aktivita. </w:t>
      </w:r>
    </w:p>
  </w:footnote>
  <w:footnote w:id="11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aktivít projektu ku dňu uplynutia šesťmesačnej lehoty, resp. do času, ktorý určí </w:t>
      </w:r>
      <w:r w:rsidR="00725C2C" w:rsidRPr="00266185">
        <w:rPr>
          <w:rFonts w:ascii="Arial Narrow" w:hAnsi="Arial Narrow"/>
          <w:sz w:val="18"/>
          <w:szCs w:val="18"/>
        </w:rPr>
        <w:t>Poskytovateľ</w:t>
      </w:r>
      <w:r w:rsidRPr="00266185">
        <w:rPr>
          <w:rFonts w:ascii="Arial Narrow" w:hAnsi="Arial Narrow"/>
          <w:sz w:val="18"/>
          <w:szCs w:val="18"/>
        </w:rPr>
        <w:t>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2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Uvádzajú sa údaje od začiatku realizácie projektu ku dňu uplynutia šesťmesačnej lehoty, resp. do času, ktorý určí </w:t>
      </w:r>
      <w:r w:rsidR="00725C2C" w:rsidRPr="00266185">
        <w:rPr>
          <w:rFonts w:ascii="Arial Narrow" w:hAnsi="Arial Narrow"/>
          <w:sz w:val="18"/>
          <w:szCs w:val="18"/>
        </w:rPr>
        <w:t>Poskytovateľ</w:t>
      </w:r>
      <w:r w:rsidRPr="00266185">
        <w:rPr>
          <w:rFonts w:ascii="Arial Narrow" w:hAnsi="Arial Narrow"/>
          <w:sz w:val="18"/>
          <w:szCs w:val="18"/>
        </w:rPr>
        <w:t xml:space="preserve">. </w:t>
      </w:r>
    </w:p>
  </w:footnote>
  <w:footnote w:id="13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Uvádzajú sa kódy a názvy merateľných ukazovateľov v zmysle zmluvy o poskytnutí nenávratného finančného príspevku.</w:t>
      </w:r>
    </w:p>
  </w:footnote>
  <w:footnote w:id="14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 sa relevancia merateľného ukazovateľa k horizontálnemu princípu v zmysle zmluvy o poskytnutí nenávratného finančného príspevku.</w:t>
      </w:r>
    </w:p>
  </w:footnote>
  <w:footnote w:id="15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Uvádza sa merná jednotka v zmysle zmluvy o poskytnutí nenávratného finančného príspevku.</w:t>
      </w:r>
    </w:p>
  </w:footnote>
  <w:footnote w:id="17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Vypĺňané automaticky ITMS2014+. Uvádza sa plánovaný stav merateľných ukazovateľov v zmysle zmluvy o poskytnutí nenávratného finančného príspevku. </w:t>
      </w:r>
    </w:p>
  </w:footnote>
  <w:footnote w:id="18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Uvádza sa kumulatívna hodnota merateľného ukazovateľa nameraná ku dňu uplynutia šesťmesačnej lehoty, t.j. súhrnná hodnota od začiatku realizácie projektu do uplynutia šesťmesačnej lehoty, príp. do času, ktorý určí </w:t>
      </w:r>
      <w:r w:rsidR="00725C2C" w:rsidRPr="00266185">
        <w:rPr>
          <w:rFonts w:ascii="Arial Narrow" w:hAnsi="Arial Narrow"/>
          <w:sz w:val="18"/>
          <w:szCs w:val="18"/>
        </w:rPr>
        <w:t>Poskytovateľ</w:t>
      </w:r>
      <w:r w:rsidRPr="00266185">
        <w:rPr>
          <w:rFonts w:ascii="Arial Narrow" w:hAnsi="Arial Narrow"/>
          <w:sz w:val="18"/>
          <w:szCs w:val="18"/>
        </w:rPr>
        <w:t>.</w:t>
      </w:r>
    </w:p>
  </w:footnote>
  <w:footnote w:id="19">
    <w:p w:rsidR="00EA76F5" w:rsidRDefault="00EA76F5" w:rsidP="00EA76F5">
      <w:pPr>
        <w:pStyle w:val="Textpoznmkypodiarou"/>
        <w:jc w:val="both"/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Vypĺňané automaticky ITMS2014+. Pomer skutočného stavu (stĺpe č. 6) k plánovanému stavu (stĺpec č. 5) merateľného ukazovateľa aktivity projektu v percentuálnom vyjadrení.</w:t>
      </w:r>
    </w:p>
  </w:footnote>
  <w:footnote w:id="20">
    <w:p w:rsidR="00EA76F5" w:rsidRDefault="00EA76F5" w:rsidP="00EA76F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1">
    <w:p w:rsidR="00EA76F5" w:rsidRPr="00266185" w:rsidRDefault="00EA76F5" w:rsidP="00EA76F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 xml:space="preserve">Prijímateľ uvedie stručný popis priebehu a pokroku napĺňania merateľných ukazovateľov od začiatku realizácie projektu ku dňu uplynutia šesťmesačnej lehoty, príp. do času, ktorý určí </w:t>
      </w:r>
      <w:r w:rsidR="00BC0164" w:rsidRPr="00266185">
        <w:rPr>
          <w:rFonts w:ascii="Arial Narrow" w:hAnsi="Arial Narrow"/>
          <w:sz w:val="18"/>
          <w:szCs w:val="18"/>
        </w:rPr>
        <w:t>Poskytovateľ</w:t>
      </w:r>
      <w:r w:rsidRPr="00266185">
        <w:rPr>
          <w:rFonts w:ascii="Arial Narrow" w:hAnsi="Arial Narrow"/>
          <w:sz w:val="18"/>
          <w:szCs w:val="18"/>
        </w:rPr>
        <w:t>.</w:t>
      </w:r>
    </w:p>
  </w:footnote>
  <w:footnote w:id="22">
    <w:p w:rsidR="00EA76F5" w:rsidRDefault="00EA76F5" w:rsidP="00EA76F5">
      <w:pPr>
        <w:pStyle w:val="Textpoznmkypodiarou"/>
        <w:jc w:val="both"/>
      </w:pPr>
      <w:r w:rsidRPr="0026618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príspevku, ďalej o rizikách, ktoré vznikli v súvislosti s realizáciou projektu a opatreniach prijatých na ich elimináciu a iných údajoch týkajúcich sa realizácie projektu</w:t>
      </w:r>
      <w:r w:rsidR="00BC0164" w:rsidRPr="00266185">
        <w:rPr>
          <w:rFonts w:ascii="Arial Narrow" w:hAnsi="Arial Narrow"/>
          <w:sz w:val="18"/>
          <w:szCs w:val="18"/>
        </w:rPr>
        <w:t xml:space="preserve"> </w:t>
      </w:r>
      <w:r w:rsidRPr="00266185">
        <w:rPr>
          <w:rFonts w:ascii="Arial Narrow" w:hAnsi="Arial Narrow"/>
          <w:sz w:val="18"/>
          <w:szCs w:val="18"/>
        </w:rPr>
        <w:t>(</w:t>
      </w:r>
      <w:r w:rsidR="00BC0164" w:rsidRPr="00266185">
        <w:rPr>
          <w:rFonts w:ascii="Arial Narrow" w:hAnsi="Arial Narrow"/>
          <w:sz w:val="18"/>
          <w:szCs w:val="18"/>
        </w:rPr>
        <w:t>P</w:t>
      </w:r>
      <w:r w:rsidRPr="00266185">
        <w:rPr>
          <w:rFonts w:ascii="Arial Narrow" w:hAnsi="Arial Narrow"/>
          <w:sz w:val="18"/>
          <w:szCs w:val="18"/>
        </w:rPr>
        <w:t xml:space="preserve">rijímateľ vypĺňa v prípade, ak predmetné problémy sú prierezového charakteru vo vzťahu k viacerým aktivitám, príp. sa týkajú iných oblastí projektu ako je realizácia aktivít napr. environmentálne požiadavky </w:t>
      </w:r>
      <w:bookmarkStart w:id="0" w:name="_GoBack"/>
      <w:r w:rsidR="00BC0164" w:rsidRPr="00266185">
        <w:rPr>
          <w:rFonts w:ascii="Arial Narrow" w:hAnsi="Arial Narrow"/>
          <w:sz w:val="18"/>
          <w:szCs w:val="18"/>
        </w:rPr>
        <w:t>-</w:t>
      </w:r>
      <w:bookmarkEnd w:id="0"/>
      <w:r w:rsidRPr="00266185">
        <w:rPr>
          <w:rFonts w:ascii="Arial Narrow" w:hAnsi="Arial Narrow"/>
          <w:sz w:val="18"/>
          <w:szCs w:val="18"/>
        </w:rPr>
        <w:t xml:space="preserve">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EA76F5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EC80CD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20E" w:rsidRDefault="00C4420E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 xml:space="preserve">Príloha </w:t>
    </w:r>
    <w:r w:rsidR="00725C2C">
      <w:t>4.4.2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34C0"/>
    <w:rsid w:val="001C513F"/>
    <w:rsid w:val="001D4B25"/>
    <w:rsid w:val="001E5462"/>
    <w:rsid w:val="001F0193"/>
    <w:rsid w:val="001F45B1"/>
    <w:rsid w:val="00216646"/>
    <w:rsid w:val="002235B5"/>
    <w:rsid w:val="002256E5"/>
    <w:rsid w:val="002259C4"/>
    <w:rsid w:val="00225A05"/>
    <w:rsid w:val="00246970"/>
    <w:rsid w:val="00256687"/>
    <w:rsid w:val="00266185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4DF9"/>
    <w:rsid w:val="00354308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10CF4"/>
    <w:rsid w:val="00416E2D"/>
    <w:rsid w:val="0042741B"/>
    <w:rsid w:val="00427C84"/>
    <w:rsid w:val="00431EE0"/>
    <w:rsid w:val="004320E6"/>
    <w:rsid w:val="004323C7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11497"/>
    <w:rsid w:val="005118B6"/>
    <w:rsid w:val="005122F6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D3D52"/>
    <w:rsid w:val="006E28B8"/>
    <w:rsid w:val="006F15B4"/>
    <w:rsid w:val="006F1C5D"/>
    <w:rsid w:val="00702F16"/>
    <w:rsid w:val="00705F45"/>
    <w:rsid w:val="00711F30"/>
    <w:rsid w:val="00712A61"/>
    <w:rsid w:val="00714388"/>
    <w:rsid w:val="00721161"/>
    <w:rsid w:val="00725C2C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743A"/>
    <w:rsid w:val="00854A2E"/>
    <w:rsid w:val="008566E2"/>
    <w:rsid w:val="00863E65"/>
    <w:rsid w:val="00865E76"/>
    <w:rsid w:val="008743E6"/>
    <w:rsid w:val="008806AC"/>
    <w:rsid w:val="00891EDF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86DBC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76E67"/>
    <w:rsid w:val="00B815EB"/>
    <w:rsid w:val="00B86FC1"/>
    <w:rsid w:val="00B948E0"/>
    <w:rsid w:val="00BA13ED"/>
    <w:rsid w:val="00BA4376"/>
    <w:rsid w:val="00BC0164"/>
    <w:rsid w:val="00BC4BAC"/>
    <w:rsid w:val="00BE5DFF"/>
    <w:rsid w:val="00BF4803"/>
    <w:rsid w:val="00BF4995"/>
    <w:rsid w:val="00BF7479"/>
    <w:rsid w:val="00C02231"/>
    <w:rsid w:val="00C11731"/>
    <w:rsid w:val="00C13AF9"/>
    <w:rsid w:val="00C214B6"/>
    <w:rsid w:val="00C31910"/>
    <w:rsid w:val="00C348A2"/>
    <w:rsid w:val="00C4420E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C5737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7589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33236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A76F5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3A9CE001-78B5-4751-9A68-66E47D8D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97ED4-9B88-4D84-956E-ED189F00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117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Žaneta Rosová</cp:lastModifiedBy>
  <cp:revision>15</cp:revision>
  <cp:lastPrinted>2015-02-05T16:37:00Z</cp:lastPrinted>
  <dcterms:created xsi:type="dcterms:W3CDTF">2015-10-19T19:56:00Z</dcterms:created>
  <dcterms:modified xsi:type="dcterms:W3CDTF">2015-12-22T09:46:00Z</dcterms:modified>
</cp:coreProperties>
</file>