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4CA" w:rsidRPr="00F4713C" w:rsidRDefault="00D324CA" w:rsidP="00D324CA">
      <w:pPr>
        <w:pStyle w:val="Nadpis2"/>
        <w:numPr>
          <w:ilvl w:val="0"/>
          <w:numId w:val="0"/>
        </w:numPr>
        <w:jc w:val="both"/>
      </w:pPr>
      <w:bookmarkStart w:id="0" w:name="_Ref418070524"/>
      <w:bookmarkStart w:id="1" w:name="_Ref418074070"/>
      <w:bookmarkStart w:id="2" w:name="_Toc448137284"/>
      <w:r w:rsidRPr="00F4713C">
        <w:t xml:space="preserve">Príloha č. 8: Rizikové </w:t>
      </w:r>
      <w:r w:rsidRPr="007E5F44">
        <w:t>indikátory</w:t>
      </w:r>
      <w:r w:rsidRPr="00F4713C">
        <w:t xml:space="preserve"> k možným porušeniam zákona o ochrane hospodárskej súťaže</w:t>
      </w:r>
      <w:bookmarkEnd w:id="0"/>
      <w:bookmarkEnd w:id="1"/>
      <w:bookmarkEnd w:id="2"/>
    </w:p>
    <w:p w:rsidR="00D324CA" w:rsidRDefault="00D324CA" w:rsidP="00D324CA">
      <w:pPr>
        <w:spacing w:before="360"/>
        <w:jc w:val="center"/>
      </w:pPr>
      <w:r w:rsidRPr="00F4713C">
        <w:rPr>
          <w:rFonts w:cs="Times New Roman"/>
          <w:b/>
          <w:sz w:val="24"/>
        </w:rPr>
        <w:t>Zoznam rizikových indikátorov možného porušenia hospodárskej súťaže</w:t>
      </w:r>
      <w:r>
        <w:rPr>
          <w:rStyle w:val="Odkaznapoznmkupodiarou"/>
          <w:rFonts w:cs="Times New Roman"/>
          <w:b/>
          <w:sz w:val="24"/>
        </w:rPr>
        <w:footnoteReference w:id="1"/>
      </w:r>
    </w:p>
    <w:p w:rsidR="00D324CA" w:rsidRPr="000144E2" w:rsidRDefault="00D324CA" w:rsidP="00D324CA">
      <w:pPr>
        <w:spacing w:before="360"/>
        <w:jc w:val="both"/>
      </w:pPr>
      <w:r w:rsidRPr="009745A0">
        <w:t>Rizikové indikátory, ktoré sú ďalej uvedené, neznamenajú sami o sebe dôkaz o porušení hospodárskej súťaže, alebo porušenia ZVO. Sú však situáciami, ktoré zvyšujú pravdepodobnosť, že v rámci daného zadávania zákazky mohlo dôjsť k protiprávnemu konaniu. Poki</w:t>
      </w:r>
      <w:r w:rsidRPr="0085580A">
        <w:t>aľ určitý rizikový indikátor sám o sebe znamená porušenie ZVO, nepotvrdenie skutočnosti o porušení hospodárskej súťaže nemá vplyv na </w:t>
      </w:r>
      <w:r w:rsidRPr="000144E2">
        <w:t xml:space="preserve">konštatovanie o porušení ZVO. Tento zoznam nie je vyčerpávajúcim súhrnom všetkých rizikových situácií. </w:t>
      </w:r>
    </w:p>
    <w:p w:rsidR="00D324CA" w:rsidRPr="000144E2" w:rsidRDefault="00D324CA" w:rsidP="00D324CA">
      <w:pPr>
        <w:spacing w:before="120" w:after="120" w:line="240" w:lineRule="auto"/>
        <w:jc w:val="both"/>
      </w:pPr>
      <w:r w:rsidRPr="000144E2">
        <w:t xml:space="preserve">Odporúčame prijímateľovi, resp. osobám, ktoré poveril výkonom VO a tiež členom komisie oboznámiť sa s rizikovými indikátormi a ďalšie činnosti vykonávať s ohľadom na dostatočné využitie tejto vedomosti. </w:t>
      </w:r>
    </w:p>
    <w:p w:rsidR="00D324CA" w:rsidRPr="000144E2" w:rsidRDefault="00D324CA" w:rsidP="00D324CA">
      <w:pPr>
        <w:spacing w:before="120" w:after="120" w:line="240" w:lineRule="auto"/>
        <w:jc w:val="both"/>
      </w:pPr>
      <w:r w:rsidRPr="000144E2">
        <w:t xml:space="preserve">Upozorňujeme prijímateľa, že potvrdenie porušenia zákona o ochrane hospodárskej súťaže môže predstavovať prekážku v ďalšom spolufinancovaní predmetného </w:t>
      </w:r>
      <w:r w:rsidR="000B5426">
        <w:t>VO</w:t>
      </w:r>
      <w:bookmarkStart w:id="3" w:name="_GoBack"/>
      <w:bookmarkEnd w:id="3"/>
      <w:r w:rsidRPr="000144E2">
        <w:t xml:space="preserve"> zo strany poskytovateľa.</w:t>
      </w:r>
    </w:p>
    <w:p w:rsidR="00D324CA" w:rsidRPr="00FF50CF" w:rsidRDefault="00D324CA" w:rsidP="00D324CA">
      <w:pPr>
        <w:spacing w:before="120" w:after="120" w:line="240" w:lineRule="auto"/>
        <w:jc w:val="both"/>
      </w:pPr>
      <w:r w:rsidRPr="00FF50CF">
        <w:t>Zoznam rizikových indikátorov: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"/>
        <w:gridCol w:w="2778"/>
        <w:gridCol w:w="5811"/>
      </w:tblGrid>
      <w:tr w:rsidR="00D324CA" w:rsidRPr="00F4713C" w:rsidTr="00670779">
        <w:trPr>
          <w:cantSplit/>
        </w:trPr>
        <w:tc>
          <w:tcPr>
            <w:tcW w:w="483" w:type="dxa"/>
            <w:shd w:val="pct5" w:color="auto" w:fill="auto"/>
            <w:vAlign w:val="center"/>
          </w:tcPr>
          <w:p w:rsidR="00D324CA" w:rsidRPr="009F64F5" w:rsidRDefault="00D324CA" w:rsidP="00670779">
            <w:pPr>
              <w:spacing w:before="120" w:after="120" w:line="240" w:lineRule="auto"/>
              <w:ind w:left="-13" w:right="-51"/>
              <w:jc w:val="center"/>
              <w:rPr>
                <w:b/>
                <w:bCs/>
                <w:color w:val="2E74B5" w:themeColor="accent1" w:themeShade="BF"/>
                <w:sz w:val="21"/>
                <w:szCs w:val="21"/>
              </w:rPr>
            </w:pPr>
            <w:proofErr w:type="spellStart"/>
            <w:r w:rsidRPr="009F64F5">
              <w:rPr>
                <w:b/>
                <w:bCs/>
                <w:color w:val="2E74B5" w:themeColor="accent1" w:themeShade="BF"/>
                <w:sz w:val="21"/>
                <w:szCs w:val="21"/>
              </w:rPr>
              <w:t>P.č</w:t>
            </w:r>
            <w:proofErr w:type="spellEnd"/>
            <w:r w:rsidRPr="009F64F5">
              <w:rPr>
                <w:b/>
                <w:bCs/>
                <w:color w:val="2E74B5" w:themeColor="accent1" w:themeShade="BF"/>
                <w:sz w:val="21"/>
                <w:szCs w:val="21"/>
              </w:rPr>
              <w:t>.</w:t>
            </w:r>
          </w:p>
        </w:tc>
        <w:tc>
          <w:tcPr>
            <w:tcW w:w="2778" w:type="dxa"/>
            <w:shd w:val="pct5" w:color="auto" w:fill="auto"/>
            <w:vAlign w:val="center"/>
          </w:tcPr>
          <w:p w:rsidR="00D324CA" w:rsidRPr="009F64F5" w:rsidRDefault="00D324CA" w:rsidP="00670779">
            <w:pPr>
              <w:spacing w:before="120" w:after="120" w:line="240" w:lineRule="auto"/>
              <w:ind w:left="34"/>
              <w:rPr>
                <w:b/>
                <w:bCs/>
                <w:color w:val="2E74B5" w:themeColor="accent1" w:themeShade="BF"/>
                <w:sz w:val="21"/>
                <w:szCs w:val="21"/>
              </w:rPr>
            </w:pPr>
            <w:r w:rsidRPr="009F64F5">
              <w:rPr>
                <w:b/>
                <w:bCs/>
                <w:color w:val="2E74B5" w:themeColor="accent1" w:themeShade="BF"/>
                <w:sz w:val="21"/>
                <w:szCs w:val="21"/>
              </w:rPr>
              <w:t>Názov rizikového indikátora</w:t>
            </w:r>
          </w:p>
        </w:tc>
        <w:tc>
          <w:tcPr>
            <w:tcW w:w="5811" w:type="dxa"/>
            <w:shd w:val="pct5" w:color="auto" w:fill="auto"/>
            <w:vAlign w:val="center"/>
          </w:tcPr>
          <w:p w:rsidR="00D324CA" w:rsidRPr="009F64F5" w:rsidRDefault="00D324CA" w:rsidP="00670779">
            <w:pPr>
              <w:spacing w:before="120" w:after="120" w:line="240" w:lineRule="auto"/>
              <w:ind w:left="17"/>
              <w:rPr>
                <w:b/>
                <w:bCs/>
                <w:color w:val="2E74B5" w:themeColor="accent1" w:themeShade="BF"/>
                <w:sz w:val="21"/>
                <w:szCs w:val="21"/>
              </w:rPr>
            </w:pPr>
            <w:r w:rsidRPr="009F64F5">
              <w:rPr>
                <w:b/>
                <w:bCs/>
                <w:color w:val="2E74B5" w:themeColor="accent1" w:themeShade="BF"/>
                <w:sz w:val="21"/>
                <w:szCs w:val="21"/>
              </w:rPr>
              <w:t>Popis rizikového indikátora</w:t>
            </w:r>
          </w:p>
        </w:tc>
      </w:tr>
      <w:tr w:rsidR="00D324CA" w:rsidRPr="00F4713C" w:rsidTr="00670779">
        <w:trPr>
          <w:cantSplit/>
        </w:trPr>
        <w:tc>
          <w:tcPr>
            <w:tcW w:w="483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jc w:val="center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1</w:t>
            </w:r>
          </w:p>
        </w:tc>
        <w:tc>
          <w:tcPr>
            <w:tcW w:w="2778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ind w:left="32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Rotácia úspešných uchádzačov podľa regiónu, typu služby, tovaru alebo práce</w:t>
            </w:r>
          </w:p>
        </w:tc>
        <w:tc>
          <w:tcPr>
            <w:tcW w:w="5811" w:type="dxa"/>
          </w:tcPr>
          <w:p w:rsidR="00D324CA" w:rsidRPr="00F4713C" w:rsidRDefault="00D324CA" w:rsidP="00670779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Zo skupiny uchádzačov podávajúcich ponuky, ktorej zloženie je pri viacerých súťažiach takmer rovnaké, je ako úspešný vyhodnotený vždy iný uchádzač, pričom úspešnosť je možné odvodiť od záujmu realizovať zákazku v určitom regióne, alebo v rámci určitého typu služby, tovaru</w:t>
            </w:r>
            <w:r>
              <w:rPr>
                <w:bCs/>
                <w:sz w:val="21"/>
                <w:szCs w:val="21"/>
              </w:rPr>
              <w:t xml:space="preserve"> </w:t>
            </w:r>
            <w:r w:rsidRPr="00F4713C">
              <w:rPr>
                <w:bCs/>
                <w:sz w:val="21"/>
                <w:szCs w:val="21"/>
              </w:rPr>
              <w:t xml:space="preserve">alebo práce a pod. </w:t>
            </w:r>
          </w:p>
        </w:tc>
      </w:tr>
      <w:tr w:rsidR="00D324CA" w:rsidRPr="00F4713C" w:rsidTr="00670779">
        <w:trPr>
          <w:cantSplit/>
        </w:trPr>
        <w:tc>
          <w:tcPr>
            <w:tcW w:w="483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jc w:val="center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2</w:t>
            </w:r>
          </w:p>
        </w:tc>
        <w:tc>
          <w:tcPr>
            <w:tcW w:w="2778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ind w:left="32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 xml:space="preserve">Neúspešný uchádzač je </w:t>
            </w:r>
            <w:proofErr w:type="spellStart"/>
            <w:r w:rsidRPr="00F4713C">
              <w:rPr>
                <w:bCs/>
                <w:sz w:val="21"/>
                <w:szCs w:val="21"/>
              </w:rPr>
              <w:t>zazmluvnený</w:t>
            </w:r>
            <w:proofErr w:type="spellEnd"/>
            <w:r w:rsidRPr="00F4713C">
              <w:rPr>
                <w:bCs/>
                <w:sz w:val="21"/>
                <w:szCs w:val="21"/>
              </w:rPr>
              <w:t xml:space="preserve"> úspešným uchádzačom ako subdodávateľ</w:t>
            </w:r>
          </w:p>
        </w:tc>
        <w:tc>
          <w:tcPr>
            <w:tcW w:w="5811" w:type="dxa"/>
          </w:tcPr>
          <w:p w:rsidR="00D324CA" w:rsidRPr="00F4713C" w:rsidRDefault="00D324CA" w:rsidP="00CA099C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 xml:space="preserve">Pri kontrole </w:t>
            </w:r>
            <w:r w:rsidR="00CA099C">
              <w:rPr>
                <w:bCs/>
                <w:sz w:val="21"/>
                <w:szCs w:val="21"/>
              </w:rPr>
              <w:t>poskytovateľ</w:t>
            </w:r>
            <w:r w:rsidRPr="00F4713C">
              <w:rPr>
                <w:bCs/>
                <w:sz w:val="21"/>
                <w:szCs w:val="21"/>
              </w:rPr>
              <w:t xml:space="preserve"> zistí skutočnosť, že s uchádzačom, ktorý bol v súťaži vyhodnotený ako neúspešný, uzavrel úspešný uchádzač v rámci plnenia predmetnej zákazky dodávateľskú zmluvu</w:t>
            </w:r>
            <w:r>
              <w:rPr>
                <w:bCs/>
                <w:sz w:val="21"/>
                <w:szCs w:val="21"/>
              </w:rPr>
              <w:t>.</w:t>
            </w:r>
          </w:p>
        </w:tc>
      </w:tr>
      <w:tr w:rsidR="00D324CA" w:rsidRPr="00F4713C" w:rsidTr="00670779">
        <w:trPr>
          <w:cantSplit/>
        </w:trPr>
        <w:tc>
          <w:tcPr>
            <w:tcW w:w="483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jc w:val="center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3</w:t>
            </w:r>
          </w:p>
        </w:tc>
        <w:tc>
          <w:tcPr>
            <w:tcW w:w="2778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ind w:left="32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Uchádzači využívajú v preukazovaní podmienok účasti prísľuby tých istých tretích osôb, resp. ako subdodávatelia sú identifikované tie isté subjekty</w:t>
            </w:r>
          </w:p>
        </w:tc>
        <w:tc>
          <w:tcPr>
            <w:tcW w:w="5811" w:type="dxa"/>
          </w:tcPr>
          <w:p w:rsidR="00D324CA" w:rsidRPr="00F4713C" w:rsidRDefault="00D324CA" w:rsidP="00670779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 xml:space="preserve">Pre preukazovanie splnenia podmienok účasti podľa § </w:t>
            </w:r>
            <w:r>
              <w:rPr>
                <w:bCs/>
                <w:sz w:val="21"/>
                <w:szCs w:val="21"/>
              </w:rPr>
              <w:t>33</w:t>
            </w:r>
            <w:r w:rsidRPr="00F4713C">
              <w:rPr>
                <w:bCs/>
                <w:sz w:val="21"/>
                <w:szCs w:val="21"/>
              </w:rPr>
              <w:t xml:space="preserve"> alebo § </w:t>
            </w:r>
            <w:r>
              <w:rPr>
                <w:bCs/>
                <w:sz w:val="21"/>
                <w:szCs w:val="21"/>
              </w:rPr>
              <w:t>34</w:t>
            </w:r>
            <w:r w:rsidRPr="00F4713C">
              <w:rPr>
                <w:bCs/>
                <w:sz w:val="21"/>
                <w:szCs w:val="21"/>
              </w:rPr>
              <w:t xml:space="preserve"> využívajú uchádzači kapacity iných osôb („tretích strán“) pričom tieto iné osoby sú rovnaké pri viacerých uchádzačo</w:t>
            </w:r>
            <w:r>
              <w:rPr>
                <w:bCs/>
                <w:sz w:val="21"/>
                <w:szCs w:val="21"/>
              </w:rPr>
              <w:t>ch</w:t>
            </w:r>
            <w:r w:rsidRPr="00F4713C">
              <w:rPr>
                <w:bCs/>
                <w:sz w:val="21"/>
                <w:szCs w:val="21"/>
              </w:rPr>
              <w:t xml:space="preserve">. </w:t>
            </w:r>
          </w:p>
          <w:p w:rsidR="00D324CA" w:rsidRPr="00F4713C" w:rsidRDefault="00D324CA" w:rsidP="00670779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Viacerí uchádzači majú v rámci svojich ponúk identifikovaných rovnakých subdodávateľov</w:t>
            </w:r>
            <w:r>
              <w:rPr>
                <w:bCs/>
                <w:sz w:val="21"/>
                <w:szCs w:val="21"/>
              </w:rPr>
              <w:t>.</w:t>
            </w:r>
          </w:p>
        </w:tc>
      </w:tr>
      <w:tr w:rsidR="00D324CA" w:rsidRPr="00F4713C" w:rsidTr="00670779">
        <w:trPr>
          <w:cantSplit/>
        </w:trPr>
        <w:tc>
          <w:tcPr>
            <w:tcW w:w="483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jc w:val="center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4</w:t>
            </w:r>
          </w:p>
        </w:tc>
        <w:tc>
          <w:tcPr>
            <w:tcW w:w="2778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ind w:left="32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Medzi uchádzačmi je majetkové alebo osobné prepojenie</w:t>
            </w:r>
          </w:p>
        </w:tc>
        <w:tc>
          <w:tcPr>
            <w:tcW w:w="5811" w:type="dxa"/>
          </w:tcPr>
          <w:p w:rsidR="00D324CA" w:rsidRPr="00F4713C" w:rsidRDefault="00D324CA" w:rsidP="00670779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Medzi úspešným uchádzačom a iným uchádzačom je majetkové alebo osobné prepojenie (napr. štatutár úspešného uchádzača a štatutár neúspešného uchádzača sú spoločne štatutármi aj v inom subjekte (ktorý mohol</w:t>
            </w:r>
            <w:r>
              <w:rPr>
                <w:bCs/>
                <w:sz w:val="21"/>
                <w:szCs w:val="21"/>
              </w:rPr>
              <w:t>,</w:t>
            </w:r>
            <w:r w:rsidRPr="00F4713C">
              <w:rPr>
                <w:bCs/>
                <w:sz w:val="21"/>
                <w:szCs w:val="21"/>
              </w:rPr>
              <w:t xml:space="preserve"> alebo aj nemusel predložiť ponuku)</w:t>
            </w:r>
            <w:r>
              <w:rPr>
                <w:bCs/>
                <w:sz w:val="21"/>
                <w:szCs w:val="21"/>
              </w:rPr>
              <w:t>.</w:t>
            </w:r>
          </w:p>
        </w:tc>
      </w:tr>
      <w:tr w:rsidR="00D324CA" w:rsidRPr="00F4713C" w:rsidTr="00670779">
        <w:trPr>
          <w:cantSplit/>
        </w:trPr>
        <w:tc>
          <w:tcPr>
            <w:tcW w:w="483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jc w:val="center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lastRenderedPageBreak/>
              <w:t>5</w:t>
            </w:r>
          </w:p>
        </w:tc>
        <w:tc>
          <w:tcPr>
            <w:tcW w:w="2778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ind w:left="34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Niektorí uchádzači predkladajú opätovne svoju ponuku, avšak nikdy nie sú úspešní</w:t>
            </w:r>
          </w:p>
        </w:tc>
        <w:tc>
          <w:tcPr>
            <w:tcW w:w="5811" w:type="dxa"/>
          </w:tcPr>
          <w:p w:rsidR="00D324CA" w:rsidRPr="00F4713C" w:rsidRDefault="00D324CA" w:rsidP="00670779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Vo viacerých súťažiach je možné identifikovať rovnakého uchádzača, ktorý sa súťaží vždy zúčastňuje, ale nikdy nie je úspešný</w:t>
            </w:r>
            <w:r>
              <w:rPr>
                <w:bCs/>
                <w:sz w:val="21"/>
                <w:szCs w:val="21"/>
              </w:rPr>
              <w:t>.</w:t>
            </w:r>
          </w:p>
        </w:tc>
      </w:tr>
      <w:tr w:rsidR="00D324CA" w:rsidRPr="00F4713C" w:rsidTr="00670779">
        <w:trPr>
          <w:cantSplit/>
        </w:trPr>
        <w:tc>
          <w:tcPr>
            <w:tcW w:w="483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jc w:val="center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6</w:t>
            </w:r>
          </w:p>
        </w:tc>
        <w:tc>
          <w:tcPr>
            <w:tcW w:w="2778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ind w:left="32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Dvaja alebo viacerí uchádzači predkladajú spoločnú ponuku (ako skupina dodávateľov), avšak aspoň jeden z nich je dostatočne kvalifiko</w:t>
            </w:r>
            <w:r>
              <w:rPr>
                <w:bCs/>
                <w:sz w:val="21"/>
                <w:szCs w:val="21"/>
              </w:rPr>
              <w:t>vaný, aby mohol podať ponuku sám</w:t>
            </w:r>
          </w:p>
        </w:tc>
        <w:tc>
          <w:tcPr>
            <w:tcW w:w="5811" w:type="dxa"/>
          </w:tcPr>
          <w:p w:rsidR="00D324CA" w:rsidRPr="00F4713C" w:rsidRDefault="00D324CA" w:rsidP="00670779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V súťaži je identifikovaný dodávateľ, o ktorom je všeobecne známe, že je kvalifikovaný podať ponuku aj bez vytvorenia skupiny dodávateľov, napriek tomu sa súťaže zúčastňuje v rámci spoločnej ponuky dvoch alebo viacerých dodávateľov</w:t>
            </w:r>
            <w:r>
              <w:rPr>
                <w:bCs/>
                <w:sz w:val="21"/>
                <w:szCs w:val="21"/>
              </w:rPr>
              <w:t>.</w:t>
            </w:r>
          </w:p>
        </w:tc>
      </w:tr>
      <w:tr w:rsidR="00D324CA" w:rsidRPr="00F4713C" w:rsidTr="00670779">
        <w:trPr>
          <w:cantSplit/>
        </w:trPr>
        <w:tc>
          <w:tcPr>
            <w:tcW w:w="483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jc w:val="center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7</w:t>
            </w:r>
          </w:p>
        </w:tc>
        <w:tc>
          <w:tcPr>
            <w:tcW w:w="2778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ind w:left="32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Predloženie tieňovej („krycej“) ponuky</w:t>
            </w:r>
          </w:p>
        </w:tc>
        <w:tc>
          <w:tcPr>
            <w:tcW w:w="5811" w:type="dxa"/>
          </w:tcPr>
          <w:p w:rsidR="00D324CA" w:rsidRPr="00F4713C" w:rsidRDefault="00D324CA" w:rsidP="00670779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Ponuky predložili aj uchádzači, ktorí nie sú zjavne kvalifikovaní</w:t>
            </w:r>
            <w:r>
              <w:rPr>
                <w:bCs/>
                <w:sz w:val="21"/>
                <w:szCs w:val="21"/>
              </w:rPr>
              <w:t>,</w:t>
            </w:r>
            <w:r w:rsidRPr="00F4713C">
              <w:rPr>
                <w:bCs/>
                <w:sz w:val="21"/>
                <w:szCs w:val="21"/>
              </w:rPr>
              <w:t xml:space="preserve"> resp. ich ponuka nespĺňa základné požiadavky určené verejným obstarávateľom</w:t>
            </w:r>
            <w:r>
              <w:rPr>
                <w:bCs/>
                <w:sz w:val="21"/>
                <w:szCs w:val="21"/>
              </w:rPr>
              <w:t>.</w:t>
            </w:r>
          </w:p>
        </w:tc>
      </w:tr>
      <w:tr w:rsidR="00D324CA" w:rsidRPr="00F4713C" w:rsidTr="00670779">
        <w:trPr>
          <w:cantSplit/>
        </w:trPr>
        <w:tc>
          <w:tcPr>
            <w:tcW w:w="483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jc w:val="center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8</w:t>
            </w:r>
          </w:p>
        </w:tc>
        <w:tc>
          <w:tcPr>
            <w:tcW w:w="2778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ind w:left="32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Nízky počet ponúk</w:t>
            </w:r>
            <w:r>
              <w:rPr>
                <w:bCs/>
                <w:sz w:val="21"/>
                <w:szCs w:val="21"/>
              </w:rPr>
              <w:t xml:space="preserve"> </w:t>
            </w:r>
            <w:r w:rsidRPr="00F4713C">
              <w:rPr>
                <w:bCs/>
                <w:sz w:val="21"/>
                <w:szCs w:val="21"/>
              </w:rPr>
              <w:t>/</w:t>
            </w:r>
            <w:r>
              <w:rPr>
                <w:bCs/>
                <w:sz w:val="21"/>
                <w:szCs w:val="21"/>
              </w:rPr>
              <w:t xml:space="preserve"> </w:t>
            </w:r>
            <w:r w:rsidRPr="00F4713C">
              <w:rPr>
                <w:bCs/>
                <w:sz w:val="21"/>
                <w:szCs w:val="21"/>
              </w:rPr>
              <w:t>žiadostí o účasť</w:t>
            </w:r>
          </w:p>
        </w:tc>
        <w:tc>
          <w:tcPr>
            <w:tcW w:w="5811" w:type="dxa"/>
          </w:tcPr>
          <w:p w:rsidR="00D324CA" w:rsidRPr="00F4713C" w:rsidRDefault="00D324CA" w:rsidP="00670779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V rámci súťaže bol predložený nízky počet ponúk alebo žiadostí o účasť (1 až 2)</w:t>
            </w:r>
            <w:r>
              <w:rPr>
                <w:bCs/>
                <w:sz w:val="21"/>
                <w:szCs w:val="21"/>
              </w:rPr>
              <w:t>.</w:t>
            </w:r>
          </w:p>
        </w:tc>
      </w:tr>
      <w:tr w:rsidR="00D324CA" w:rsidRPr="00F4713C" w:rsidTr="00670779">
        <w:trPr>
          <w:cantSplit/>
        </w:trPr>
        <w:tc>
          <w:tcPr>
            <w:tcW w:w="483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9</w:t>
            </w:r>
          </w:p>
        </w:tc>
        <w:tc>
          <w:tcPr>
            <w:tcW w:w="2778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ind w:left="32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Podozrivé schémy v stanovovaní cien</w:t>
            </w:r>
          </w:p>
        </w:tc>
        <w:tc>
          <w:tcPr>
            <w:tcW w:w="5811" w:type="dxa"/>
          </w:tcPr>
          <w:p w:rsidR="00D324CA" w:rsidRPr="00F4713C" w:rsidRDefault="00D324CA" w:rsidP="00D324CA">
            <w:pPr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C</w:t>
            </w:r>
            <w:r w:rsidRPr="00F4713C">
              <w:rPr>
                <w:bCs/>
                <w:sz w:val="21"/>
                <w:szCs w:val="21"/>
              </w:rPr>
              <w:t>eny predložené uchádzačmi sa oproti úspešnej ponuke zvyšujú o pravidelný % prírastok,</w:t>
            </w:r>
          </w:p>
          <w:p w:rsidR="00D324CA" w:rsidRPr="00F4713C" w:rsidRDefault="00D324CA" w:rsidP="00D324CA">
            <w:pPr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N</w:t>
            </w:r>
            <w:r w:rsidRPr="00F4713C">
              <w:rPr>
                <w:bCs/>
                <w:sz w:val="21"/>
                <w:szCs w:val="21"/>
              </w:rPr>
              <w:t>a stanovenie ceny sú pri viacerých uchádzačoch použité rovnaké kalkulácie,</w:t>
            </w:r>
          </w:p>
          <w:p w:rsidR="00D324CA" w:rsidRPr="00F4713C" w:rsidRDefault="00D324CA" w:rsidP="00D324CA">
            <w:pPr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H</w:t>
            </w:r>
            <w:r w:rsidRPr="00F4713C">
              <w:rPr>
                <w:bCs/>
                <w:sz w:val="21"/>
                <w:szCs w:val="21"/>
              </w:rPr>
              <w:t>odnoty všetkých predložených ponúk sú v porovnaní s </w:t>
            </w:r>
            <w:r>
              <w:rPr>
                <w:bCs/>
                <w:sz w:val="21"/>
                <w:szCs w:val="21"/>
              </w:rPr>
              <w:t>PHZ</w:t>
            </w:r>
            <w:r w:rsidRPr="00F4713C">
              <w:rPr>
                <w:bCs/>
                <w:sz w:val="21"/>
                <w:szCs w:val="21"/>
              </w:rPr>
              <w:t xml:space="preserve"> buď nad touto hodnotou, alebo tesne pod ňou,</w:t>
            </w:r>
          </w:p>
          <w:p w:rsidR="00D324CA" w:rsidRPr="00F4713C" w:rsidRDefault="00D324CA" w:rsidP="00D324CA">
            <w:pPr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V</w:t>
            </w:r>
            <w:r w:rsidRPr="00F4713C">
              <w:rPr>
                <w:bCs/>
                <w:sz w:val="21"/>
                <w:szCs w:val="21"/>
              </w:rPr>
              <w:t>ýsledná suma víťaznej ponuky je neprimerane vysoká vzhľadom na sumy podobných tovarov, prác a služieb,</w:t>
            </w:r>
          </w:p>
          <w:p w:rsidR="00D324CA" w:rsidRPr="00F4713C" w:rsidRDefault="00D324CA" w:rsidP="00D324CA">
            <w:pPr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V</w:t>
            </w:r>
            <w:r w:rsidRPr="00F4713C">
              <w:rPr>
                <w:bCs/>
                <w:sz w:val="21"/>
                <w:szCs w:val="21"/>
              </w:rPr>
              <w:t xml:space="preserve"> súťaži je možné pozorovať náhly pokles ponukových cien pri vstupe uchádzača do súťaže, ktorý v predošlých podobných súťažiach nepredkladal ponuku</w:t>
            </w:r>
            <w:r>
              <w:rPr>
                <w:bCs/>
                <w:sz w:val="21"/>
                <w:szCs w:val="21"/>
              </w:rPr>
              <w:t>,</w:t>
            </w:r>
          </w:p>
          <w:p w:rsidR="00D324CA" w:rsidRPr="00F4713C" w:rsidRDefault="00D324CA" w:rsidP="00D324CA">
            <w:pPr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V</w:t>
            </w:r>
            <w:r w:rsidRPr="00F4713C">
              <w:rPr>
                <w:bCs/>
                <w:sz w:val="21"/>
                <w:szCs w:val="21"/>
              </w:rPr>
              <w:t xml:space="preserve"> prípade, že uchádzači vedia o ponukách (napr. predchádzajúce </w:t>
            </w:r>
            <w:r>
              <w:rPr>
                <w:bCs/>
                <w:sz w:val="21"/>
                <w:szCs w:val="21"/>
              </w:rPr>
              <w:t>VO</w:t>
            </w:r>
            <w:r w:rsidRPr="00F4713C">
              <w:rPr>
                <w:bCs/>
                <w:sz w:val="21"/>
                <w:szCs w:val="21"/>
              </w:rPr>
              <w:t xml:space="preserve"> bolo zrušené po otvorení ponúk)</w:t>
            </w:r>
            <w:r>
              <w:rPr>
                <w:bCs/>
                <w:sz w:val="21"/>
                <w:szCs w:val="21"/>
              </w:rPr>
              <w:t>,</w:t>
            </w:r>
            <w:r w:rsidRPr="00F4713C">
              <w:rPr>
                <w:bCs/>
                <w:sz w:val="21"/>
                <w:szCs w:val="21"/>
              </w:rPr>
              <w:t xml:space="preserve"> neúspešní uchádzači zvýšia ceny, alebo cena u väčšiny uchádzačov zostane rovnaká</w:t>
            </w:r>
            <w:r>
              <w:rPr>
                <w:bCs/>
                <w:sz w:val="21"/>
                <w:szCs w:val="21"/>
              </w:rPr>
              <w:t>.</w:t>
            </w:r>
          </w:p>
        </w:tc>
      </w:tr>
      <w:tr w:rsidR="00D324CA" w:rsidRPr="00F4713C" w:rsidTr="00670779">
        <w:trPr>
          <w:cantSplit/>
        </w:trPr>
        <w:tc>
          <w:tcPr>
            <w:tcW w:w="483" w:type="dxa"/>
            <w:vAlign w:val="center"/>
          </w:tcPr>
          <w:p w:rsidR="00D324CA" w:rsidRDefault="00D324CA" w:rsidP="00670779">
            <w:pPr>
              <w:widowControl w:val="0"/>
              <w:spacing w:before="120" w:after="120" w:line="240" w:lineRule="auto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lastRenderedPageBreak/>
              <w:t>10</w:t>
            </w:r>
          </w:p>
        </w:tc>
        <w:tc>
          <w:tcPr>
            <w:tcW w:w="2778" w:type="dxa"/>
            <w:vAlign w:val="center"/>
          </w:tcPr>
          <w:p w:rsidR="00D324CA" w:rsidRPr="00F4713C" w:rsidRDefault="00D324CA" w:rsidP="00670779">
            <w:pPr>
              <w:widowControl w:val="0"/>
              <w:spacing w:before="120" w:after="120" w:line="240" w:lineRule="auto"/>
              <w:ind w:left="32"/>
              <w:rPr>
                <w:bCs/>
                <w:sz w:val="21"/>
                <w:szCs w:val="21"/>
              </w:rPr>
            </w:pPr>
            <w:r w:rsidRPr="00B3143A">
              <w:rPr>
                <w:bCs/>
                <w:sz w:val="21"/>
                <w:szCs w:val="21"/>
              </w:rPr>
              <w:t>Pod</w:t>
            </w:r>
            <w:r>
              <w:rPr>
                <w:bCs/>
                <w:sz w:val="21"/>
                <w:szCs w:val="21"/>
              </w:rPr>
              <w:t>ozrivé indície v dokumentácii z VO</w:t>
            </w:r>
          </w:p>
        </w:tc>
        <w:tc>
          <w:tcPr>
            <w:tcW w:w="5811" w:type="dxa"/>
          </w:tcPr>
          <w:p w:rsidR="00D324CA" w:rsidRPr="00B3143A" w:rsidRDefault="00D324CA" w:rsidP="00D324CA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1"/>
                <w:szCs w:val="21"/>
              </w:rPr>
            </w:pPr>
            <w:r w:rsidRPr="00B3143A">
              <w:rPr>
                <w:bCs/>
                <w:sz w:val="21"/>
                <w:szCs w:val="21"/>
              </w:rPr>
              <w:t xml:space="preserve">dokumenty obsahujú rovnaký rukopis, druh písma, rovnakú formu alebo boli použité rovnaké kancelárske potreby (napr. ponuky sú podpísané rovnakým atramentom, sú na rovnakom kancelárskom papieri), </w:t>
            </w:r>
          </w:p>
          <w:p w:rsidR="00D324CA" w:rsidRPr="00B3143A" w:rsidRDefault="00D324CA" w:rsidP="00D324CA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1"/>
                <w:szCs w:val="21"/>
              </w:rPr>
            </w:pPr>
            <w:r w:rsidRPr="00B3143A">
              <w:rPr>
                <w:bCs/>
                <w:sz w:val="21"/>
                <w:szCs w:val="21"/>
              </w:rPr>
              <w:t>rovnaké chyby v jednotlivých dokumentoch, napr. pravopisné chyby, tlačiarenské chyby (rovnaké šmuhy od tlačiarne), matematické chyby (rovnaké zlé výpočty),</w:t>
            </w:r>
          </w:p>
          <w:p w:rsidR="00D324CA" w:rsidRPr="00B3143A" w:rsidRDefault="00D324CA" w:rsidP="00D324CA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1"/>
                <w:szCs w:val="21"/>
              </w:rPr>
            </w:pPr>
            <w:r w:rsidRPr="00B3143A">
              <w:rPr>
                <w:bCs/>
                <w:sz w:val="21"/>
                <w:szCs w:val="21"/>
              </w:rPr>
              <w:t>zhodné nepravidelnosti, napr. zoradenie dokumentov do ponuky s prehodenými stranami, chybné číslovanie strán,</w:t>
            </w:r>
          </w:p>
          <w:p w:rsidR="00D324CA" w:rsidRPr="00B3143A" w:rsidRDefault="00D324CA" w:rsidP="00D324CA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1"/>
                <w:szCs w:val="21"/>
              </w:rPr>
            </w:pPr>
            <w:r w:rsidRPr="00B3143A">
              <w:rPr>
                <w:bCs/>
                <w:sz w:val="21"/>
                <w:szCs w:val="21"/>
              </w:rPr>
              <w:t>dokumenty v elektronickej forme ukazujú, že ich vytvorila alebo upravovala jedna osoba,</w:t>
            </w:r>
          </w:p>
          <w:p w:rsidR="00D324CA" w:rsidRPr="00B3143A" w:rsidRDefault="00D324CA" w:rsidP="00D324CA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1"/>
                <w:szCs w:val="21"/>
              </w:rPr>
            </w:pPr>
            <w:r w:rsidRPr="00B3143A">
              <w:rPr>
                <w:bCs/>
                <w:sz w:val="21"/>
                <w:szCs w:val="21"/>
              </w:rPr>
              <w:t xml:space="preserve">obálky od rôznych uchádzačov majú podobné poštové pečiatky, sú zasielané z jednej pošty, majú rovnaké </w:t>
            </w:r>
            <w:proofErr w:type="spellStart"/>
            <w:r w:rsidRPr="00B3143A">
              <w:rPr>
                <w:bCs/>
                <w:sz w:val="21"/>
                <w:szCs w:val="21"/>
              </w:rPr>
              <w:t>frankovacie</w:t>
            </w:r>
            <w:proofErr w:type="spellEnd"/>
            <w:r w:rsidRPr="00B3143A">
              <w:rPr>
                <w:bCs/>
                <w:sz w:val="21"/>
                <w:szCs w:val="21"/>
              </w:rPr>
              <w:t xml:space="preserve"> značky a známky, na podacích lístkoch je rovnaký rukopis, čísla kolkov v rôznych ponukách na seba nadväzujú, </w:t>
            </w:r>
          </w:p>
          <w:p w:rsidR="00D324CA" w:rsidRPr="00B3143A" w:rsidRDefault="00D324CA" w:rsidP="00D324CA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1"/>
                <w:szCs w:val="21"/>
              </w:rPr>
            </w:pPr>
            <w:r w:rsidRPr="00B3143A">
              <w:rPr>
                <w:bCs/>
                <w:sz w:val="21"/>
                <w:szCs w:val="21"/>
              </w:rPr>
              <w:t>niekoľko ponúk (alebo akýchkoľvek iných dokumentov, napr. žiadosti o vysvetlenie súťažných podkladov) je posielaných z rovnakej emailovej adresy, z rovnakého faxového čísla alebo naraz prostredníctvom jedného kuriéra,</w:t>
            </w:r>
          </w:p>
          <w:p w:rsidR="00D324CA" w:rsidRPr="00B3143A" w:rsidRDefault="00D324CA" w:rsidP="00D324CA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1"/>
                <w:szCs w:val="21"/>
              </w:rPr>
            </w:pPr>
            <w:r w:rsidRPr="00B3143A">
              <w:rPr>
                <w:bCs/>
                <w:sz w:val="21"/>
                <w:szCs w:val="21"/>
              </w:rPr>
              <w:t>dokumenty o cenových ponukách obsahujú veľký počet opráv na poslednú chvíľu ako gumovanie, škrtanie alebo iné fyzické zmeny,</w:t>
            </w:r>
          </w:p>
          <w:p w:rsidR="00D324CA" w:rsidRPr="00B3143A" w:rsidRDefault="00D324CA" w:rsidP="00D324CA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1"/>
                <w:szCs w:val="21"/>
              </w:rPr>
            </w:pPr>
            <w:r w:rsidRPr="00B3143A">
              <w:rPr>
                <w:bCs/>
                <w:sz w:val="21"/>
                <w:szCs w:val="21"/>
              </w:rPr>
              <w:t>ponuky jedného uchádzača obsahujú jednoznačný odkaz na ponuky ostatných konkurentov, v hlavičke sa vyskytuje faxové číslo iného uchádzača alebo využívajú hlavičkový papier konkurenta,</w:t>
            </w:r>
          </w:p>
          <w:p w:rsidR="00D324CA" w:rsidRDefault="00D324CA" w:rsidP="00D324CA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1"/>
                <w:szCs w:val="21"/>
              </w:rPr>
            </w:pPr>
            <w:r w:rsidRPr="00B3143A">
              <w:rPr>
                <w:bCs/>
                <w:sz w:val="21"/>
                <w:szCs w:val="21"/>
              </w:rPr>
              <w:t>ponuky viacerých uchádzačov obsahujú podstatný počet rovnakých odhadov nákladov na jednotlivé položky.</w:t>
            </w:r>
          </w:p>
        </w:tc>
      </w:tr>
    </w:tbl>
    <w:p w:rsidR="00D324CA" w:rsidRPr="00F4713C" w:rsidRDefault="00D324CA" w:rsidP="00D324CA"/>
    <w:p w:rsidR="006506AD" w:rsidRDefault="006506AD"/>
    <w:sectPr w:rsidR="006506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9FF" w:rsidRDefault="00D209FF" w:rsidP="00D324CA">
      <w:pPr>
        <w:spacing w:after="0" w:line="240" w:lineRule="auto"/>
      </w:pPr>
      <w:r>
        <w:separator/>
      </w:r>
    </w:p>
  </w:endnote>
  <w:endnote w:type="continuationSeparator" w:id="0">
    <w:p w:rsidR="00D209FF" w:rsidRDefault="00D209FF" w:rsidP="00D32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9FF" w:rsidRDefault="00D209FF" w:rsidP="00D324CA">
      <w:pPr>
        <w:spacing w:after="0" w:line="240" w:lineRule="auto"/>
      </w:pPr>
      <w:r>
        <w:separator/>
      </w:r>
    </w:p>
  </w:footnote>
  <w:footnote w:type="continuationSeparator" w:id="0">
    <w:p w:rsidR="00D209FF" w:rsidRDefault="00D209FF" w:rsidP="00D324CA">
      <w:pPr>
        <w:spacing w:after="0" w:line="240" w:lineRule="auto"/>
      </w:pPr>
      <w:r>
        <w:continuationSeparator/>
      </w:r>
    </w:p>
  </w:footnote>
  <w:footnote w:id="1">
    <w:p w:rsidR="00D324CA" w:rsidRPr="00560D2A" w:rsidRDefault="00D324CA" w:rsidP="00D324CA">
      <w:pPr>
        <w:pStyle w:val="Textpoznmkypodiarou"/>
        <w:ind w:left="0"/>
        <w:rPr>
          <w:rFonts w:ascii="Times New Roman" w:hAnsi="Times New Roman" w:cs="Times New Roman"/>
        </w:rPr>
      </w:pPr>
      <w:r w:rsidRPr="00C13BD9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C13BD9">
        <w:rPr>
          <w:rFonts w:ascii="Times New Roman" w:hAnsi="Times New Roman" w:cs="Times New Roman"/>
          <w:color w:val="auto"/>
        </w:rPr>
        <w:t xml:space="preserve"> Z pohľadu možného porušenia hospodárskej súťaže podľa zákona č. 136/2001 Z. z. o ochrane hospodárskej </w:t>
      </w:r>
      <w:r w:rsidRPr="00560D2A">
        <w:rPr>
          <w:rFonts w:ascii="Times New Roman" w:hAnsi="Times New Roman" w:cs="Times New Roman"/>
          <w:color w:val="auto"/>
        </w:rPr>
        <w:t>súťaže, konkrétne dohôd obmedzujúcich súťaž podľa § 4 zákona o ochrane hospodárskej súťaže.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73C11"/>
    <w:multiLevelType w:val="hybridMultilevel"/>
    <w:tmpl w:val="4BB83B4C"/>
    <w:lvl w:ilvl="0" w:tplc="DE1214B8">
      <w:start w:val="16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4CA"/>
    <w:rsid w:val="000B5426"/>
    <w:rsid w:val="00303CA0"/>
    <w:rsid w:val="006506AD"/>
    <w:rsid w:val="006D32E6"/>
    <w:rsid w:val="00CA099C"/>
    <w:rsid w:val="00D209FF"/>
    <w:rsid w:val="00D3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69FA43-03BF-4FED-B050-B9BD56489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324CA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D324CA"/>
    <w:pPr>
      <w:keepNext/>
      <w:keepLines/>
      <w:numPr>
        <w:numId w:val="2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D324CA"/>
    <w:pPr>
      <w:keepNext/>
      <w:keepLines/>
      <w:numPr>
        <w:ilvl w:val="1"/>
        <w:numId w:val="2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D324CA"/>
    <w:pPr>
      <w:keepNext/>
      <w:keepLines/>
      <w:numPr>
        <w:ilvl w:val="2"/>
        <w:numId w:val="2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D324CA"/>
    <w:pPr>
      <w:keepNext/>
      <w:keepLines/>
      <w:numPr>
        <w:ilvl w:val="3"/>
        <w:numId w:val="2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D324CA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324CA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324CA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D324CA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324CA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324CA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D324CA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D324CA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D324CA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D324C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324C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D324C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D324C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324C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D324CA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D324CA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D324CA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A09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A09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834</Words>
  <Characters>4759</Characters>
  <Application>Microsoft Office Word</Application>
  <DocSecurity>0</DocSecurity>
  <Lines>39</Lines>
  <Paragraphs>11</Paragraphs>
  <ScaleCrop>false</ScaleCrop>
  <Company/>
  <LinksUpToDate>false</LinksUpToDate>
  <CharactersWithSpaces>5582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Rosova Žaneta</cp:lastModifiedBy>
  <cp:revision>5</cp:revision>
  <dcterms:created xsi:type="dcterms:W3CDTF">2016-04-18T09:28:00Z</dcterms:created>
  <dcterms:modified xsi:type="dcterms:W3CDTF">2017-11-25T09:32:00Z</dcterms:modified>
</cp:coreProperties>
</file>