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82A0C8" w14:textId="08EA4964" w:rsidR="002E2D9B" w:rsidRDefault="008424AF">
      <w:r>
        <w:t xml:space="preserve"> </w:t>
      </w:r>
      <w:r w:rsidR="00AD61A5">
        <w:rPr>
          <w:noProof/>
          <w:lang w:eastAsia="sk-SK"/>
        </w:rPr>
        <w:drawing>
          <wp:inline distT="0" distB="0" distL="0" distR="0" wp14:anchorId="6882A100" wp14:editId="6882A101">
            <wp:extent cx="5852795" cy="69469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52795" cy="694690"/>
                    </a:xfrm>
                    <a:prstGeom prst="rect">
                      <a:avLst/>
                    </a:prstGeom>
                    <a:noFill/>
                  </pic:spPr>
                </pic:pic>
              </a:graphicData>
            </a:graphic>
          </wp:inline>
        </w:drawing>
      </w:r>
    </w:p>
    <w:p w14:paraId="6882A0C9" w14:textId="77777777" w:rsidR="00DC7648" w:rsidRDefault="00AD61A5" w:rsidP="00AD61A5">
      <w:pPr>
        <w:jc w:val="center"/>
      </w:pPr>
      <w:r>
        <w:rPr>
          <w:noProof/>
          <w:lang w:eastAsia="sk-SK"/>
        </w:rPr>
        <w:drawing>
          <wp:inline distT="0" distB="0" distL="0" distR="0" wp14:anchorId="6882A102" wp14:editId="6882A103">
            <wp:extent cx="6218555" cy="2413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18555" cy="24130"/>
                    </a:xfrm>
                    <a:prstGeom prst="rect">
                      <a:avLst/>
                    </a:prstGeom>
                    <a:noFill/>
                  </pic:spPr>
                </pic:pic>
              </a:graphicData>
            </a:graphic>
          </wp:inline>
        </w:drawing>
      </w:r>
    </w:p>
    <w:p w14:paraId="6882A0CA" w14:textId="77777777" w:rsidR="0044184B" w:rsidRDefault="0044184B" w:rsidP="0044184B">
      <w:pPr>
        <w:spacing w:after="0" w:line="240" w:lineRule="auto"/>
        <w:jc w:val="center"/>
        <w:rPr>
          <w:rFonts w:ascii="Times New Roman" w:hAnsi="Times New Roman" w:cs="Times New Roman"/>
          <w:sz w:val="36"/>
          <w:szCs w:val="36"/>
        </w:rPr>
      </w:pPr>
      <w:r w:rsidRPr="0044184B">
        <w:rPr>
          <w:rFonts w:ascii="Times New Roman" w:hAnsi="Times New Roman" w:cs="Times New Roman"/>
          <w:sz w:val="36"/>
          <w:szCs w:val="36"/>
        </w:rPr>
        <w:t>Ministerstvo vnútra Slovenskej republiky</w:t>
      </w:r>
    </w:p>
    <w:p w14:paraId="6882A0CB" w14:textId="77777777" w:rsidR="0044184B" w:rsidRPr="0044184B" w:rsidRDefault="0044184B" w:rsidP="0044184B">
      <w:pPr>
        <w:spacing w:after="0" w:line="240" w:lineRule="auto"/>
        <w:jc w:val="center"/>
        <w:rPr>
          <w:rFonts w:ascii="Times New Roman" w:hAnsi="Times New Roman" w:cs="Times New Roman"/>
          <w:sz w:val="28"/>
          <w:szCs w:val="28"/>
        </w:rPr>
      </w:pPr>
      <w:r w:rsidRPr="0044184B">
        <w:rPr>
          <w:rFonts w:ascii="Times New Roman" w:hAnsi="Times New Roman" w:cs="Times New Roman"/>
          <w:sz w:val="28"/>
          <w:szCs w:val="28"/>
        </w:rPr>
        <w:t xml:space="preserve">ako sprostredkovateľský orgán </w:t>
      </w:r>
    </w:p>
    <w:p w14:paraId="6882A0CC" w14:textId="77777777" w:rsidR="0044184B" w:rsidRPr="0044184B" w:rsidRDefault="0044184B" w:rsidP="0044184B">
      <w:pPr>
        <w:spacing w:after="0" w:line="240" w:lineRule="auto"/>
        <w:jc w:val="center"/>
        <w:rPr>
          <w:rFonts w:ascii="Times New Roman" w:hAnsi="Times New Roman" w:cs="Times New Roman"/>
          <w:sz w:val="28"/>
          <w:szCs w:val="28"/>
        </w:rPr>
      </w:pPr>
      <w:r w:rsidRPr="0044184B">
        <w:rPr>
          <w:rFonts w:ascii="Times New Roman" w:hAnsi="Times New Roman" w:cs="Times New Roman"/>
          <w:sz w:val="28"/>
          <w:szCs w:val="28"/>
        </w:rPr>
        <w:t>pre Operačný program Kvalita životného prostredia</w:t>
      </w:r>
    </w:p>
    <w:p w14:paraId="6882A0CE" w14:textId="77777777" w:rsidR="008D1234" w:rsidRPr="006A18E6" w:rsidRDefault="008D1234" w:rsidP="00DE7FC5">
      <w:pPr>
        <w:pStyle w:val="MPCKO2"/>
        <w:shd w:val="clear" w:color="auto" w:fill="7EA434"/>
        <w:ind w:right="-709"/>
        <w:jc w:val="center"/>
        <w:rPr>
          <w:sz w:val="36"/>
          <w:szCs w:val="36"/>
        </w:rPr>
      </w:pPr>
      <w:r w:rsidRPr="008219DA">
        <w:rPr>
          <w:sz w:val="44"/>
          <w:szCs w:val="44"/>
        </w:rPr>
        <w:t xml:space="preserve">  </w:t>
      </w:r>
      <w:r w:rsidRPr="006A18E6">
        <w:rPr>
          <w:color w:val="FFFFFF" w:themeColor="background1"/>
          <w:sz w:val="36"/>
          <w:szCs w:val="36"/>
        </w:rPr>
        <w:t>Osobitné podmienky oprávnenosti výdavkov</w:t>
      </w:r>
    </w:p>
    <w:p w14:paraId="6882A0CF" w14:textId="77777777" w:rsidR="008D1234" w:rsidRDefault="008D1234" w:rsidP="00DE7FC5">
      <w:pPr>
        <w:rPr>
          <w:sz w:val="20"/>
          <w:szCs w:val="20"/>
        </w:rPr>
      </w:pPr>
    </w:p>
    <w:tbl>
      <w:tblPr>
        <w:tblStyle w:val="Mriekatabuky1"/>
        <w:tblW w:w="9776" w:type="dxa"/>
        <w:shd w:val="clear" w:color="auto" w:fill="D9D9D9" w:themeFill="background1" w:themeFillShade="D9"/>
        <w:tblLook w:val="04A0" w:firstRow="1" w:lastRow="0" w:firstColumn="1" w:lastColumn="0" w:noHBand="0" w:noVBand="1"/>
      </w:tblPr>
      <w:tblGrid>
        <w:gridCol w:w="9776"/>
      </w:tblGrid>
      <w:tr w:rsidR="008219DA" w:rsidRPr="008D1234" w14:paraId="6882A0D1" w14:textId="77777777" w:rsidTr="002350E9">
        <w:trPr>
          <w:trHeight w:val="266"/>
        </w:trPr>
        <w:tc>
          <w:tcPr>
            <w:tcW w:w="5000" w:type="pct"/>
            <w:shd w:val="clear" w:color="auto" w:fill="C2D69B"/>
          </w:tcPr>
          <w:p w14:paraId="6882A0D0" w14:textId="77777777" w:rsidR="008219DA" w:rsidRPr="00DE7FC5" w:rsidRDefault="008219DA" w:rsidP="007B753C">
            <w:pPr>
              <w:jc w:val="both"/>
              <w:rPr>
                <w:rFonts w:ascii="Times New Roman" w:hAnsi="Times New Roman" w:cs="Times New Roman"/>
                <w:b/>
                <w:sz w:val="28"/>
                <w:szCs w:val="28"/>
              </w:rPr>
            </w:pPr>
            <w:r w:rsidRPr="00DE7FC5">
              <w:rPr>
                <w:rFonts w:ascii="Times New Roman" w:hAnsi="Times New Roman" w:cs="Times New Roman"/>
                <w:b/>
                <w:sz w:val="32"/>
                <w:szCs w:val="28"/>
              </w:rPr>
              <w:t>Zoznam oprávnených výdavkov projektu:</w:t>
            </w:r>
          </w:p>
        </w:tc>
      </w:tr>
      <w:tr w:rsidR="008D1234" w:rsidRPr="008D1234" w14:paraId="6882A0D6" w14:textId="77777777" w:rsidTr="007B753C">
        <w:trPr>
          <w:trHeight w:val="1891"/>
        </w:trPr>
        <w:tc>
          <w:tcPr>
            <w:tcW w:w="5000" w:type="pct"/>
            <w:shd w:val="clear" w:color="auto" w:fill="FFFFFF" w:themeFill="background1"/>
          </w:tcPr>
          <w:p w14:paraId="6882A0D2" w14:textId="77777777" w:rsidR="008D1234" w:rsidRPr="00D27408" w:rsidRDefault="008219DA" w:rsidP="007B753C">
            <w:pPr>
              <w:jc w:val="both"/>
              <w:rPr>
                <w:rFonts w:ascii="Times New Roman" w:hAnsi="Times New Roman" w:cs="Times New Roman"/>
                <w:sz w:val="24"/>
                <w:szCs w:val="24"/>
              </w:rPr>
            </w:pPr>
            <w:r w:rsidRPr="00D27408">
              <w:rPr>
                <w:rFonts w:ascii="Times New Roman" w:hAnsi="Times New Roman" w:cs="Times New Roman"/>
                <w:sz w:val="24"/>
                <w:szCs w:val="24"/>
              </w:rPr>
              <w:t xml:space="preserve">Poskytovateľ overuje vecnú oprávnenosť výdavkov projektu na základe posúdenia, či žiadané výdavky projektu vecne spadajú do rozsahu oprávnených výdavkov určených v zozname oprávnených výdavkov uvedenom v tomto dokumente. Zoznam oprávnených výdavkov obsahuje uzavretý zoznam tried a skupín oprávnených výdavkov a v rámci nich najčastejšie sa vyskytujúce typy oprávnených výdavkov v rámci tejto výzvy v súlade s </w:t>
            </w:r>
            <w:r w:rsidRPr="00D27408">
              <w:rPr>
                <w:rFonts w:ascii="Times New Roman" w:hAnsi="Times New Roman" w:cs="Times New Roman"/>
                <w:sz w:val="24"/>
                <w:szCs w:val="24"/>
                <w:u w:val="single"/>
              </w:rPr>
              <w:t>Číselníkom oprávnených výdavkov, verzia 1.</w:t>
            </w:r>
            <w:r w:rsidR="001C25AE">
              <w:rPr>
                <w:rFonts w:ascii="Times New Roman" w:hAnsi="Times New Roman" w:cs="Times New Roman"/>
                <w:sz w:val="24"/>
                <w:szCs w:val="24"/>
                <w:u w:val="single"/>
              </w:rPr>
              <w:t>8</w:t>
            </w:r>
            <w:r w:rsidRPr="00D27408">
              <w:rPr>
                <w:rFonts w:ascii="Times New Roman" w:hAnsi="Times New Roman" w:cs="Times New Roman"/>
                <w:sz w:val="24"/>
                <w:szCs w:val="24"/>
              </w:rPr>
              <w:t xml:space="preserve">, ktorý tvorí prílohu č. 1 </w:t>
            </w:r>
            <w:r w:rsidRPr="001C25AE">
              <w:rPr>
                <w:rFonts w:ascii="Times New Roman" w:hAnsi="Times New Roman" w:cs="Times New Roman"/>
                <w:b/>
                <w:sz w:val="24"/>
                <w:szCs w:val="24"/>
              </w:rPr>
              <w:t>Príručky k oprávnenosti výdavkov pre dopytovo orientované projekty OP KŽP, verzia 1.</w:t>
            </w:r>
            <w:r w:rsidR="001C25AE">
              <w:rPr>
                <w:rFonts w:ascii="Times New Roman" w:hAnsi="Times New Roman" w:cs="Times New Roman"/>
                <w:b/>
                <w:sz w:val="24"/>
                <w:szCs w:val="24"/>
              </w:rPr>
              <w:t>8</w:t>
            </w:r>
            <w:r w:rsidRPr="00D27408">
              <w:rPr>
                <w:rFonts w:ascii="Times New Roman" w:hAnsi="Times New Roman" w:cs="Times New Roman"/>
                <w:sz w:val="24"/>
                <w:szCs w:val="24"/>
              </w:rPr>
              <w:t xml:space="preserve"> (ďalej len „Príručka k oprávnenosti výdavkov“). </w:t>
            </w:r>
            <w:r w:rsidRPr="00D27408">
              <w:rPr>
                <w:rFonts w:ascii="Times New Roman" w:hAnsi="Times New Roman" w:cs="Times New Roman"/>
                <w:sz w:val="24"/>
                <w:szCs w:val="24"/>
                <w:u w:val="single"/>
              </w:rPr>
              <w:t>Všetky verzie</w:t>
            </w:r>
            <w:r w:rsidRPr="00D27408">
              <w:rPr>
                <w:rFonts w:ascii="Times New Roman" w:hAnsi="Times New Roman" w:cs="Times New Roman"/>
                <w:sz w:val="24"/>
                <w:szCs w:val="24"/>
              </w:rPr>
              <w:t xml:space="preserve"> dokumentu Príručka k oprávnenosti výdavkov a jeho príloh, vrátane verzií zverejnených formou sledovania vykonaných zmien, sú dostupné na </w:t>
            </w:r>
            <w:hyperlink r:id="rId13" w:history="1">
              <w:r w:rsidRPr="00D27408">
                <w:rPr>
                  <w:rStyle w:val="Hypertextovprepojenie"/>
                  <w:rFonts w:ascii="Times New Roman" w:hAnsi="Times New Roman" w:cs="Times New Roman"/>
                  <w:sz w:val="24"/>
                  <w:szCs w:val="24"/>
                </w:rPr>
                <w:t>tomto mieste</w:t>
              </w:r>
            </w:hyperlink>
            <w:r w:rsidRPr="00D27408">
              <w:rPr>
                <w:rFonts w:ascii="Times New Roman" w:hAnsi="Times New Roman" w:cs="Times New Roman"/>
                <w:sz w:val="24"/>
                <w:szCs w:val="24"/>
              </w:rPr>
              <w:t xml:space="preserve"> webového sídla OP KŽP.</w:t>
            </w:r>
          </w:p>
          <w:p w14:paraId="6882A0D3" w14:textId="77777777" w:rsidR="00DE7FC5" w:rsidRDefault="00DE7FC5" w:rsidP="007B753C">
            <w:pPr>
              <w:jc w:val="both"/>
              <w:rPr>
                <w:rFonts w:ascii="Times New Roman" w:hAnsi="Times New Roman" w:cs="Times New Roman"/>
                <w:sz w:val="28"/>
                <w:szCs w:val="28"/>
              </w:rPr>
            </w:pPr>
          </w:p>
          <w:p w14:paraId="6882A0D4" w14:textId="56D390AC" w:rsidR="00DE7FC5" w:rsidRPr="00D27408" w:rsidRDefault="00DE7FC5" w:rsidP="00D27408">
            <w:pPr>
              <w:pStyle w:val="Odsekzoznamu"/>
              <w:numPr>
                <w:ilvl w:val="0"/>
                <w:numId w:val="1"/>
              </w:numPr>
              <w:shd w:val="clear" w:color="auto" w:fill="A6A6A6" w:themeFill="background1" w:themeFillShade="A6"/>
              <w:ind w:right="601"/>
              <w:jc w:val="both"/>
              <w:rPr>
                <w:rFonts w:ascii="Times New Roman" w:hAnsi="Times New Roman" w:cs="Times New Roman"/>
                <w:sz w:val="24"/>
                <w:szCs w:val="24"/>
              </w:rPr>
            </w:pPr>
            <w:r w:rsidRPr="00D27408">
              <w:rPr>
                <w:rFonts w:ascii="Times New Roman" w:hAnsi="Times New Roman" w:cs="Times New Roman"/>
                <w:b/>
                <w:sz w:val="24"/>
                <w:szCs w:val="24"/>
              </w:rPr>
              <w:t>Upozornenie:</w:t>
            </w:r>
            <w:r w:rsidRPr="00D27408">
              <w:rPr>
                <w:rFonts w:ascii="Times New Roman" w:hAnsi="Times New Roman" w:cs="Times New Roman"/>
                <w:sz w:val="24"/>
                <w:szCs w:val="24"/>
              </w:rPr>
              <w:t xml:space="preserve"> Vzhľadom na možnosť využiť inštitút partnerstva v tejto výzve, všetky typy oprávnených výdavkov môžu v rovnakej miere využiť všetky subjekty podieľajúce sa na realizácii aktivít projektu, teda žiadateľ/prijímateľ i jeho partneri. </w:t>
            </w:r>
            <w:r w:rsidR="00086910">
              <w:rPr>
                <w:rFonts w:ascii="Times New Roman" w:hAnsi="Times New Roman" w:cs="Times New Roman"/>
                <w:sz w:val="24"/>
                <w:szCs w:val="24"/>
              </w:rPr>
              <w:t xml:space="preserve">                </w:t>
            </w:r>
            <w:r w:rsidRPr="00D27408">
              <w:rPr>
                <w:rFonts w:ascii="Times New Roman" w:hAnsi="Times New Roman" w:cs="Times New Roman"/>
                <w:sz w:val="24"/>
                <w:szCs w:val="24"/>
              </w:rPr>
              <w:t>V prípade, že sa medzi príkladmi oprávnených výdavkov uvádzajú výdavky žiadateľa, resp. prijímateľa, myslia sa tým aj výdavky partnera.</w:t>
            </w:r>
          </w:p>
          <w:p w14:paraId="6882A0D5" w14:textId="77777777" w:rsidR="00DE7FC5" w:rsidRPr="008219DA" w:rsidRDefault="00DE7FC5" w:rsidP="007B753C">
            <w:pPr>
              <w:jc w:val="both"/>
              <w:rPr>
                <w:rFonts w:ascii="Times New Roman" w:hAnsi="Times New Roman" w:cs="Times New Roman"/>
                <w:sz w:val="28"/>
                <w:szCs w:val="28"/>
              </w:rPr>
            </w:pPr>
          </w:p>
        </w:tc>
      </w:tr>
      <w:tr w:rsidR="008D1234" w:rsidRPr="008D1234" w14:paraId="6882A0D8" w14:textId="77777777" w:rsidTr="002350E9">
        <w:trPr>
          <w:trHeight w:val="699"/>
        </w:trPr>
        <w:tc>
          <w:tcPr>
            <w:tcW w:w="5000" w:type="pct"/>
            <w:shd w:val="clear" w:color="auto" w:fill="C2D69B"/>
          </w:tcPr>
          <w:p w14:paraId="6882A0D7" w14:textId="12E94287" w:rsidR="008D1234" w:rsidRPr="00DE7FC5" w:rsidRDefault="00DE7FC5" w:rsidP="004A4970">
            <w:pPr>
              <w:jc w:val="both"/>
              <w:rPr>
                <w:rFonts w:ascii="Times New Roman" w:hAnsi="Times New Roman" w:cs="Times New Roman"/>
                <w:sz w:val="32"/>
                <w:szCs w:val="32"/>
              </w:rPr>
            </w:pPr>
            <w:r w:rsidRPr="00DE7FC5">
              <w:rPr>
                <w:rFonts w:ascii="Times New Roman" w:hAnsi="Times New Roman" w:cs="Times New Roman"/>
                <w:b/>
                <w:sz w:val="32"/>
                <w:szCs w:val="32"/>
              </w:rPr>
              <w:t>Zoznam oprávnených výdavkov projektu v rámci výzvy s kódom OPKZP-PO3-SC311-2017-</w:t>
            </w:r>
            <w:r w:rsidR="004A4970">
              <w:rPr>
                <w:rFonts w:ascii="Times New Roman" w:hAnsi="Times New Roman" w:cs="Times New Roman"/>
                <w:b/>
                <w:sz w:val="32"/>
                <w:szCs w:val="32"/>
              </w:rPr>
              <w:t>27</w:t>
            </w:r>
          </w:p>
        </w:tc>
      </w:tr>
      <w:tr w:rsidR="00DE7FC5" w:rsidRPr="008D1234" w14:paraId="6882A0DA" w14:textId="77777777" w:rsidTr="00592DDA">
        <w:trPr>
          <w:trHeight w:val="280"/>
        </w:trPr>
        <w:tc>
          <w:tcPr>
            <w:tcW w:w="5000" w:type="pct"/>
            <w:shd w:val="clear" w:color="auto" w:fill="BFBFBF" w:themeFill="background1" w:themeFillShade="BF"/>
          </w:tcPr>
          <w:p w14:paraId="6882A0D9" w14:textId="77777777" w:rsidR="00DE7FC5" w:rsidRPr="00592DDA" w:rsidRDefault="00592DDA" w:rsidP="007B753C">
            <w:pPr>
              <w:rPr>
                <w:rFonts w:ascii="Times New Roman" w:hAnsi="Times New Roman" w:cs="Times New Roman"/>
                <w:b/>
                <w:sz w:val="28"/>
                <w:szCs w:val="28"/>
              </w:rPr>
            </w:pPr>
            <w:r w:rsidRPr="00592DDA">
              <w:rPr>
                <w:rFonts w:ascii="Times New Roman" w:hAnsi="Times New Roman" w:cs="Times New Roman"/>
                <w:b/>
                <w:color w:val="FFFFFF" w:themeColor="background1"/>
                <w:sz w:val="28"/>
                <w:szCs w:val="28"/>
              </w:rPr>
              <w:t>Trieda</w:t>
            </w:r>
            <w:r w:rsidR="00D27408">
              <w:rPr>
                <w:rFonts w:ascii="Times New Roman" w:hAnsi="Times New Roman" w:cs="Times New Roman"/>
                <w:b/>
                <w:color w:val="FFFFFF" w:themeColor="background1"/>
                <w:sz w:val="28"/>
                <w:szCs w:val="28"/>
              </w:rPr>
              <w:t xml:space="preserve"> 01 - Dlhodobý nehmotný majetok</w:t>
            </w:r>
            <w:r w:rsidR="00D27408">
              <w:rPr>
                <w:rStyle w:val="Odkaznapoznmkupodiarou"/>
                <w:rFonts w:ascii="Times New Roman" w:hAnsi="Times New Roman"/>
                <w:b/>
                <w:color w:val="FFFFFF" w:themeColor="background1"/>
                <w:sz w:val="28"/>
                <w:szCs w:val="28"/>
              </w:rPr>
              <w:footnoteReference w:id="2"/>
            </w:r>
          </w:p>
        </w:tc>
      </w:tr>
      <w:tr w:rsidR="00DE7FC5" w:rsidRPr="008D1234" w14:paraId="6882A0DC" w14:textId="77777777" w:rsidTr="00DE7FC5">
        <w:trPr>
          <w:trHeight w:val="266"/>
        </w:trPr>
        <w:tc>
          <w:tcPr>
            <w:tcW w:w="5000" w:type="pct"/>
            <w:shd w:val="clear" w:color="auto" w:fill="D9D9D9" w:themeFill="background1" w:themeFillShade="D9"/>
          </w:tcPr>
          <w:p w14:paraId="6882A0DB" w14:textId="77777777" w:rsidR="00DE7FC5" w:rsidRPr="00592DDA" w:rsidRDefault="00E51B00" w:rsidP="00E51B00">
            <w:pPr>
              <w:tabs>
                <w:tab w:val="center" w:pos="4780"/>
              </w:tabs>
              <w:rPr>
                <w:rFonts w:ascii="Times New Roman" w:hAnsi="Times New Roman" w:cs="Times New Roman"/>
                <w:sz w:val="28"/>
                <w:szCs w:val="28"/>
              </w:rPr>
            </w:pPr>
            <w:r w:rsidRPr="00E51B00">
              <w:rPr>
                <w:rFonts w:ascii="Times New Roman" w:hAnsi="Times New Roman" w:cs="Times New Roman"/>
                <w:sz w:val="28"/>
                <w:szCs w:val="28"/>
              </w:rPr>
              <w:t>014 - Oceniteľné práva</w:t>
            </w:r>
            <w:r>
              <w:rPr>
                <w:rFonts w:ascii="Times New Roman" w:hAnsi="Times New Roman" w:cs="Times New Roman"/>
                <w:sz w:val="28"/>
                <w:szCs w:val="28"/>
              </w:rPr>
              <w:tab/>
            </w:r>
          </w:p>
        </w:tc>
      </w:tr>
      <w:tr w:rsidR="00592DDA" w:rsidRPr="008D1234" w14:paraId="6882A0DE" w14:textId="77777777" w:rsidTr="00592DDA">
        <w:trPr>
          <w:trHeight w:val="266"/>
        </w:trPr>
        <w:tc>
          <w:tcPr>
            <w:tcW w:w="5000" w:type="pct"/>
            <w:shd w:val="clear" w:color="auto" w:fill="auto"/>
          </w:tcPr>
          <w:p w14:paraId="6882A0DD" w14:textId="77777777" w:rsidR="00D27408" w:rsidRPr="00D27408" w:rsidRDefault="00E51B00" w:rsidP="00E51B00">
            <w:pPr>
              <w:pStyle w:val="Odsekzoznamu"/>
              <w:numPr>
                <w:ilvl w:val="0"/>
                <w:numId w:val="2"/>
              </w:numPr>
              <w:rPr>
                <w:rFonts w:ascii="Times New Roman" w:hAnsi="Times New Roman" w:cs="Times New Roman"/>
                <w:sz w:val="28"/>
                <w:szCs w:val="28"/>
              </w:rPr>
            </w:pPr>
            <w:r w:rsidRPr="00E51B00">
              <w:rPr>
                <w:rFonts w:ascii="Times New Roman" w:hAnsi="Times New Roman" w:cs="Times New Roman"/>
                <w:sz w:val="24"/>
                <w:szCs w:val="24"/>
              </w:rPr>
              <w:t>nákup licencií (výhradných, aj nevýhradných).</w:t>
            </w:r>
          </w:p>
        </w:tc>
      </w:tr>
      <w:tr w:rsidR="00E51B00" w:rsidRPr="00592DDA" w14:paraId="6882A0E0" w14:textId="77777777" w:rsidTr="00FB1ABA">
        <w:trPr>
          <w:trHeight w:val="480"/>
        </w:trPr>
        <w:tc>
          <w:tcPr>
            <w:tcW w:w="5000" w:type="pct"/>
            <w:shd w:val="clear" w:color="auto" w:fill="BFBFBF" w:themeFill="background1" w:themeFillShade="BF"/>
          </w:tcPr>
          <w:p w14:paraId="6882A0DF" w14:textId="77777777" w:rsidR="00E51B00" w:rsidRPr="00592DDA" w:rsidRDefault="00E51B00" w:rsidP="00E51B00">
            <w:pPr>
              <w:rPr>
                <w:rFonts w:ascii="Times New Roman" w:hAnsi="Times New Roman" w:cs="Times New Roman"/>
                <w:b/>
                <w:sz w:val="28"/>
                <w:szCs w:val="28"/>
              </w:rPr>
            </w:pPr>
            <w:r w:rsidRPr="00592DDA">
              <w:rPr>
                <w:rFonts w:ascii="Times New Roman" w:hAnsi="Times New Roman" w:cs="Times New Roman"/>
                <w:b/>
                <w:color w:val="FFFFFF" w:themeColor="background1"/>
                <w:sz w:val="28"/>
                <w:szCs w:val="28"/>
              </w:rPr>
              <w:t>Trieda</w:t>
            </w:r>
            <w:r>
              <w:rPr>
                <w:rFonts w:ascii="Times New Roman" w:hAnsi="Times New Roman" w:cs="Times New Roman"/>
                <w:b/>
                <w:color w:val="FFFFFF" w:themeColor="background1"/>
                <w:sz w:val="28"/>
                <w:szCs w:val="28"/>
              </w:rPr>
              <w:t xml:space="preserve"> 02 - Dlhodobý hmotný majetok</w:t>
            </w:r>
          </w:p>
        </w:tc>
      </w:tr>
      <w:tr w:rsidR="00E51B00" w:rsidRPr="00592DDA" w14:paraId="6882A0E2" w14:textId="77777777" w:rsidTr="007B753C">
        <w:trPr>
          <w:trHeight w:val="266"/>
        </w:trPr>
        <w:tc>
          <w:tcPr>
            <w:tcW w:w="5000" w:type="pct"/>
            <w:shd w:val="clear" w:color="auto" w:fill="D9D9D9" w:themeFill="background1" w:themeFillShade="D9"/>
          </w:tcPr>
          <w:p w14:paraId="6882A0E1" w14:textId="77777777" w:rsidR="00E51B00" w:rsidRPr="00592DDA" w:rsidRDefault="00E51B00" w:rsidP="007B753C">
            <w:pPr>
              <w:rPr>
                <w:rFonts w:ascii="Times New Roman" w:hAnsi="Times New Roman" w:cs="Times New Roman"/>
                <w:sz w:val="28"/>
                <w:szCs w:val="28"/>
              </w:rPr>
            </w:pPr>
            <w:r w:rsidRPr="00E51B00">
              <w:rPr>
                <w:rFonts w:ascii="Times New Roman" w:hAnsi="Times New Roman" w:cs="Times New Roman"/>
                <w:sz w:val="28"/>
                <w:szCs w:val="28"/>
              </w:rPr>
              <w:t>021 - Stavby</w:t>
            </w:r>
          </w:p>
        </w:tc>
      </w:tr>
      <w:tr w:rsidR="00E51B00" w:rsidRPr="00D27408" w14:paraId="6882A0E4" w14:textId="77777777" w:rsidTr="007B753C">
        <w:trPr>
          <w:trHeight w:val="266"/>
        </w:trPr>
        <w:tc>
          <w:tcPr>
            <w:tcW w:w="5000" w:type="pct"/>
            <w:shd w:val="clear" w:color="auto" w:fill="auto"/>
          </w:tcPr>
          <w:p w14:paraId="6882A0E3" w14:textId="77777777" w:rsidR="00E51B00" w:rsidRPr="00E51B00" w:rsidRDefault="00E51B00" w:rsidP="00E51B00">
            <w:pPr>
              <w:pStyle w:val="Odsekzoznamu"/>
              <w:numPr>
                <w:ilvl w:val="0"/>
                <w:numId w:val="2"/>
              </w:numPr>
              <w:rPr>
                <w:rFonts w:ascii="Times New Roman" w:hAnsi="Times New Roman" w:cs="Times New Roman"/>
                <w:sz w:val="28"/>
                <w:szCs w:val="28"/>
              </w:rPr>
            </w:pPr>
            <w:r w:rsidRPr="00E51B00">
              <w:rPr>
                <w:rFonts w:ascii="Times New Roman" w:hAnsi="Times New Roman" w:cs="Times New Roman"/>
                <w:sz w:val="24"/>
                <w:szCs w:val="24"/>
              </w:rPr>
              <w:t>stavebné práce: realizácia nových stavieb, rekonštrukcia a modernizácia stavieb, prístavby, nadstavby, stavebné úpravy (stavebné objekty, prevádzkové súbory, zriadenie staveniska) podľa špecifikácie;</w:t>
            </w:r>
          </w:p>
        </w:tc>
      </w:tr>
      <w:tr w:rsidR="00FB1ABA" w:rsidRPr="008D1234" w14:paraId="6882A0E6" w14:textId="77777777" w:rsidTr="007B753C">
        <w:trPr>
          <w:trHeight w:val="266"/>
        </w:trPr>
        <w:tc>
          <w:tcPr>
            <w:tcW w:w="5000" w:type="pct"/>
            <w:shd w:val="clear" w:color="auto" w:fill="D9D9D9" w:themeFill="background1" w:themeFillShade="D9"/>
          </w:tcPr>
          <w:p w14:paraId="6882A0E5" w14:textId="1A072CFA" w:rsidR="00FB1ABA" w:rsidRPr="00592DDA" w:rsidRDefault="001E6837" w:rsidP="00FB1ABA">
            <w:pPr>
              <w:rPr>
                <w:rFonts w:ascii="Times New Roman" w:hAnsi="Times New Roman" w:cs="Times New Roman"/>
                <w:sz w:val="28"/>
                <w:szCs w:val="28"/>
              </w:rPr>
            </w:pPr>
            <w:r w:rsidRPr="001E6837">
              <w:rPr>
                <w:rFonts w:ascii="Times New Roman" w:hAnsi="Times New Roman" w:cs="Times New Roman"/>
                <w:sz w:val="28"/>
                <w:szCs w:val="28"/>
              </w:rPr>
              <w:lastRenderedPageBreak/>
              <w:t>022 - Samostatné hnuteľné veci a súbory hnuteľných vecí</w:t>
            </w:r>
            <w:r w:rsidR="00432591">
              <w:rPr>
                <w:rStyle w:val="Odkaznapoznmkupodiarou"/>
                <w:rFonts w:ascii="Times New Roman" w:hAnsi="Times New Roman"/>
                <w:sz w:val="28"/>
                <w:szCs w:val="28"/>
              </w:rPr>
              <w:footnoteReference w:id="3"/>
            </w:r>
          </w:p>
        </w:tc>
      </w:tr>
      <w:tr w:rsidR="001E6837" w:rsidRPr="008D1234" w14:paraId="6882A0E8" w14:textId="77777777" w:rsidTr="00592DDA">
        <w:trPr>
          <w:trHeight w:val="266"/>
        </w:trPr>
        <w:tc>
          <w:tcPr>
            <w:tcW w:w="5000" w:type="pct"/>
            <w:shd w:val="clear" w:color="auto" w:fill="auto"/>
          </w:tcPr>
          <w:p w14:paraId="6882A0E7" w14:textId="413C90FD" w:rsidR="001E6837" w:rsidRPr="001E6837" w:rsidRDefault="001E6837" w:rsidP="00E32FBC">
            <w:pPr>
              <w:pStyle w:val="Odsekzoznamu"/>
              <w:numPr>
                <w:ilvl w:val="0"/>
                <w:numId w:val="2"/>
              </w:numPr>
              <w:jc w:val="both"/>
              <w:rPr>
                <w:rFonts w:ascii="Times New Roman" w:hAnsi="Times New Roman" w:cs="Times New Roman"/>
                <w:sz w:val="24"/>
                <w:szCs w:val="24"/>
              </w:rPr>
            </w:pPr>
            <w:r w:rsidRPr="001E6837">
              <w:rPr>
                <w:rFonts w:ascii="Times New Roman" w:hAnsi="Times New Roman" w:cs="Times New Roman"/>
                <w:sz w:val="24"/>
                <w:szCs w:val="24"/>
              </w:rPr>
              <w:t>nákup výpočtovej techniky, vrátane príslušenstva</w:t>
            </w:r>
            <w:r w:rsidR="00336DBC">
              <w:rPr>
                <w:rStyle w:val="Odkaznapoznmkupodiarou"/>
                <w:rFonts w:ascii="Times New Roman" w:hAnsi="Times New Roman"/>
                <w:sz w:val="24"/>
                <w:szCs w:val="24"/>
              </w:rPr>
              <w:footnoteReference w:id="4"/>
            </w:r>
            <w:r w:rsidRPr="001E6837">
              <w:rPr>
                <w:rFonts w:ascii="Times New Roman" w:hAnsi="Times New Roman" w:cs="Times New Roman"/>
                <w:sz w:val="24"/>
                <w:szCs w:val="24"/>
              </w:rPr>
              <w:t>;</w:t>
            </w:r>
          </w:p>
        </w:tc>
      </w:tr>
      <w:tr w:rsidR="001E6837" w:rsidRPr="008D1234" w14:paraId="6882A0EA" w14:textId="77777777" w:rsidTr="00592DDA">
        <w:trPr>
          <w:trHeight w:val="266"/>
        </w:trPr>
        <w:tc>
          <w:tcPr>
            <w:tcW w:w="5000" w:type="pct"/>
            <w:shd w:val="clear" w:color="auto" w:fill="auto"/>
          </w:tcPr>
          <w:p w14:paraId="6882A0E9" w14:textId="77777777" w:rsidR="001E6837" w:rsidRPr="001E6837" w:rsidRDefault="00284C28" w:rsidP="001E6837">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nákup telekomunikačnej techniky</w:t>
            </w:r>
            <w:r w:rsidR="00C31918">
              <w:rPr>
                <w:rFonts w:ascii="Times New Roman" w:hAnsi="Times New Roman" w:cs="Times New Roman"/>
                <w:sz w:val="24"/>
                <w:szCs w:val="24"/>
              </w:rPr>
              <w:t>,</w:t>
            </w:r>
            <w:r>
              <w:rPr>
                <w:rFonts w:ascii="Times New Roman" w:hAnsi="Times New Roman" w:cs="Times New Roman"/>
                <w:sz w:val="24"/>
                <w:szCs w:val="24"/>
              </w:rPr>
              <w:t xml:space="preserve"> vrátane príslušenstva;</w:t>
            </w:r>
          </w:p>
        </w:tc>
      </w:tr>
      <w:tr w:rsidR="00284C28" w:rsidRPr="008D1234" w14:paraId="6882A0EC" w14:textId="77777777" w:rsidTr="00592DDA">
        <w:trPr>
          <w:trHeight w:val="266"/>
        </w:trPr>
        <w:tc>
          <w:tcPr>
            <w:tcW w:w="5000" w:type="pct"/>
            <w:shd w:val="clear" w:color="auto" w:fill="auto"/>
          </w:tcPr>
          <w:p w14:paraId="6882A0EB" w14:textId="2395D9D3" w:rsidR="00284C28" w:rsidRPr="001E6837" w:rsidRDefault="00284C28" w:rsidP="00284C28">
            <w:pPr>
              <w:pStyle w:val="Odsekzoznamu"/>
              <w:numPr>
                <w:ilvl w:val="0"/>
                <w:numId w:val="2"/>
              </w:numPr>
              <w:jc w:val="both"/>
              <w:rPr>
                <w:rFonts w:ascii="Times New Roman" w:hAnsi="Times New Roman" w:cs="Times New Roman"/>
                <w:sz w:val="24"/>
                <w:szCs w:val="24"/>
              </w:rPr>
            </w:pPr>
            <w:r w:rsidRPr="001E6837">
              <w:rPr>
                <w:rFonts w:ascii="Times New Roman" w:hAnsi="Times New Roman" w:cs="Times New Roman"/>
                <w:sz w:val="24"/>
                <w:szCs w:val="24"/>
              </w:rPr>
              <w:t xml:space="preserve">nákup špeciálnych strojov, prístrojov, zariadení, techniky a náradia (napr. </w:t>
            </w:r>
            <w:r>
              <w:rPr>
                <w:rFonts w:ascii="Times New Roman" w:hAnsi="Times New Roman" w:cs="Times New Roman"/>
                <w:sz w:val="24"/>
                <w:szCs w:val="24"/>
              </w:rPr>
              <w:t>meracie, monitorovacie, signálno-bezpečnostné (vyrozumievacie, varovacie), požiarna technika, materiál na ochranu života a zdravia policajtov, špeciálny materiál CO</w:t>
            </w:r>
            <w:r w:rsidRPr="001E6837">
              <w:rPr>
                <w:rFonts w:ascii="Times New Roman" w:hAnsi="Times New Roman" w:cs="Times New Roman"/>
                <w:sz w:val="24"/>
                <w:szCs w:val="24"/>
              </w:rPr>
              <w:t>), vrátane prvého zaškolenia obsluhy (ak relevantné) v prípade, že verejné obstarávanie tovarov (technologického a strojného zariadenia) sa uskutoční samostatne, t.</w:t>
            </w:r>
            <w:r w:rsidR="005F2A9E">
              <w:rPr>
                <w:rFonts w:ascii="Times New Roman" w:hAnsi="Times New Roman" w:cs="Times New Roman"/>
                <w:sz w:val="24"/>
                <w:szCs w:val="24"/>
              </w:rPr>
              <w:t xml:space="preserve"> </w:t>
            </w:r>
            <w:r w:rsidRPr="001E6837">
              <w:rPr>
                <w:rFonts w:ascii="Times New Roman" w:hAnsi="Times New Roman" w:cs="Times New Roman"/>
                <w:sz w:val="24"/>
                <w:szCs w:val="24"/>
              </w:rPr>
              <w:t xml:space="preserve">j. </w:t>
            </w:r>
            <w:r>
              <w:rPr>
                <w:rFonts w:ascii="Times New Roman" w:hAnsi="Times New Roman" w:cs="Times New Roman"/>
                <w:sz w:val="24"/>
                <w:szCs w:val="24"/>
              </w:rPr>
              <w:t xml:space="preserve">mimo stavebných prác. </w:t>
            </w:r>
            <w:r w:rsidRPr="00284C28">
              <w:rPr>
                <w:rFonts w:ascii="Times New Roman" w:hAnsi="Times New Roman" w:cs="Times New Roman"/>
                <w:sz w:val="24"/>
                <w:szCs w:val="24"/>
              </w:rPr>
              <w:t>Z tejto podpoložky sa uhrádzajú aj výdavky na osobné ochranné pracovné prostriedky ak spĺňajú kritériá</w:t>
            </w:r>
            <w:r>
              <w:rPr>
                <w:rFonts w:ascii="Times New Roman" w:hAnsi="Times New Roman" w:cs="Times New Roman"/>
                <w:sz w:val="24"/>
                <w:szCs w:val="24"/>
              </w:rPr>
              <w:t xml:space="preserve"> nákupu z kapitálových výdavkov;</w:t>
            </w:r>
          </w:p>
        </w:tc>
      </w:tr>
      <w:tr w:rsidR="00284C28" w:rsidRPr="008D1234" w14:paraId="6882A0EE" w14:textId="77777777" w:rsidTr="00592DDA">
        <w:trPr>
          <w:trHeight w:val="266"/>
        </w:trPr>
        <w:tc>
          <w:tcPr>
            <w:tcW w:w="5000" w:type="pct"/>
            <w:shd w:val="clear" w:color="auto" w:fill="auto"/>
          </w:tcPr>
          <w:p w14:paraId="6882A0ED" w14:textId="77777777" w:rsidR="00284C28" w:rsidRPr="001E6837" w:rsidRDefault="00284C28" w:rsidP="00284C28">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nákup komunikačnej infraštruktúry</w:t>
            </w:r>
            <w:r w:rsidR="00C31918">
              <w:rPr>
                <w:rFonts w:ascii="Times New Roman" w:hAnsi="Times New Roman" w:cs="Times New Roman"/>
                <w:sz w:val="24"/>
                <w:szCs w:val="24"/>
              </w:rPr>
              <w:t>,</w:t>
            </w:r>
            <w:r>
              <w:rPr>
                <w:rFonts w:ascii="Times New Roman" w:hAnsi="Times New Roman" w:cs="Times New Roman"/>
                <w:sz w:val="24"/>
                <w:szCs w:val="24"/>
              </w:rPr>
              <w:t xml:space="preserve"> vrátane príslušenstva;</w:t>
            </w:r>
          </w:p>
        </w:tc>
      </w:tr>
      <w:tr w:rsidR="00C31918" w:rsidRPr="00592DDA" w14:paraId="6882A0F0" w14:textId="77777777" w:rsidTr="007B753C">
        <w:trPr>
          <w:trHeight w:val="480"/>
        </w:trPr>
        <w:tc>
          <w:tcPr>
            <w:tcW w:w="5000" w:type="pct"/>
            <w:shd w:val="clear" w:color="auto" w:fill="BFBFBF" w:themeFill="background1" w:themeFillShade="BF"/>
          </w:tcPr>
          <w:p w14:paraId="6882A0EF" w14:textId="222A6ABC" w:rsidR="00C31918" w:rsidRPr="00592DDA" w:rsidRDefault="00C31918" w:rsidP="00C31918">
            <w:pPr>
              <w:rPr>
                <w:rFonts w:ascii="Times New Roman" w:hAnsi="Times New Roman" w:cs="Times New Roman"/>
                <w:b/>
                <w:sz w:val="28"/>
                <w:szCs w:val="28"/>
              </w:rPr>
            </w:pPr>
            <w:r w:rsidRPr="00592DDA">
              <w:rPr>
                <w:rFonts w:ascii="Times New Roman" w:hAnsi="Times New Roman" w:cs="Times New Roman"/>
                <w:b/>
                <w:color w:val="FFFFFF" w:themeColor="background1"/>
                <w:sz w:val="28"/>
                <w:szCs w:val="28"/>
              </w:rPr>
              <w:t>Trieda</w:t>
            </w:r>
            <w:r>
              <w:rPr>
                <w:rFonts w:ascii="Times New Roman" w:hAnsi="Times New Roman" w:cs="Times New Roman"/>
                <w:b/>
                <w:color w:val="FFFFFF" w:themeColor="background1"/>
                <w:sz w:val="28"/>
                <w:szCs w:val="28"/>
              </w:rPr>
              <w:t xml:space="preserve"> 11 - Zásoby</w:t>
            </w:r>
            <w:r w:rsidR="000A15E2">
              <w:rPr>
                <w:rStyle w:val="Odkaznapoznmkupodiarou"/>
                <w:rFonts w:ascii="Times New Roman" w:hAnsi="Times New Roman"/>
                <w:b/>
                <w:color w:val="FFFFFF" w:themeColor="background1"/>
                <w:sz w:val="28"/>
                <w:szCs w:val="28"/>
              </w:rPr>
              <w:footnoteReference w:id="5"/>
            </w:r>
          </w:p>
        </w:tc>
      </w:tr>
      <w:tr w:rsidR="00C31918" w:rsidRPr="00592DDA" w14:paraId="6882A0F2" w14:textId="77777777" w:rsidTr="007B753C">
        <w:trPr>
          <w:trHeight w:val="266"/>
        </w:trPr>
        <w:tc>
          <w:tcPr>
            <w:tcW w:w="5000" w:type="pct"/>
            <w:shd w:val="clear" w:color="auto" w:fill="D9D9D9" w:themeFill="background1" w:themeFillShade="D9"/>
          </w:tcPr>
          <w:p w14:paraId="6882A0F1" w14:textId="77777777" w:rsidR="00C31918" w:rsidRPr="00592DDA" w:rsidRDefault="00C31918" w:rsidP="00C31918">
            <w:pPr>
              <w:rPr>
                <w:rFonts w:ascii="Times New Roman" w:hAnsi="Times New Roman" w:cs="Times New Roman"/>
                <w:sz w:val="28"/>
                <w:szCs w:val="28"/>
              </w:rPr>
            </w:pPr>
            <w:r>
              <w:rPr>
                <w:rFonts w:ascii="Times New Roman" w:hAnsi="Times New Roman" w:cs="Times New Roman"/>
                <w:sz w:val="28"/>
                <w:szCs w:val="28"/>
              </w:rPr>
              <w:t>112</w:t>
            </w:r>
            <w:r w:rsidRPr="00E51B00">
              <w:rPr>
                <w:rFonts w:ascii="Times New Roman" w:hAnsi="Times New Roman" w:cs="Times New Roman"/>
                <w:sz w:val="28"/>
                <w:szCs w:val="28"/>
              </w:rPr>
              <w:t xml:space="preserve"> </w:t>
            </w:r>
            <w:r>
              <w:rPr>
                <w:rFonts w:ascii="Times New Roman" w:hAnsi="Times New Roman" w:cs="Times New Roman"/>
                <w:sz w:val="28"/>
                <w:szCs w:val="28"/>
              </w:rPr>
              <w:t>–</w:t>
            </w:r>
            <w:r w:rsidRPr="00E51B00">
              <w:rPr>
                <w:rFonts w:ascii="Times New Roman" w:hAnsi="Times New Roman" w:cs="Times New Roman"/>
                <w:sz w:val="28"/>
                <w:szCs w:val="28"/>
              </w:rPr>
              <w:t xml:space="preserve"> </w:t>
            </w:r>
            <w:r>
              <w:rPr>
                <w:rFonts w:ascii="Times New Roman" w:hAnsi="Times New Roman" w:cs="Times New Roman"/>
                <w:sz w:val="28"/>
                <w:szCs w:val="28"/>
              </w:rPr>
              <w:t>Zásoby</w:t>
            </w:r>
          </w:p>
        </w:tc>
      </w:tr>
      <w:tr w:rsidR="00284C28" w:rsidRPr="008D1234" w14:paraId="6882A0F6" w14:textId="77777777" w:rsidTr="00592DDA">
        <w:trPr>
          <w:trHeight w:val="266"/>
        </w:trPr>
        <w:tc>
          <w:tcPr>
            <w:tcW w:w="5000" w:type="pct"/>
            <w:shd w:val="clear" w:color="auto" w:fill="auto"/>
          </w:tcPr>
          <w:p w14:paraId="6882A0F5" w14:textId="4974B8E8" w:rsidR="00284C28" w:rsidRPr="00877581" w:rsidRDefault="007B753C" w:rsidP="00877581">
            <w:pPr>
              <w:pStyle w:val="Odsekzoznamu"/>
              <w:numPr>
                <w:ilvl w:val="0"/>
                <w:numId w:val="3"/>
              </w:numPr>
              <w:jc w:val="both"/>
              <w:rPr>
                <w:rFonts w:ascii="Times New Roman" w:hAnsi="Times New Roman" w:cs="Times New Roman"/>
                <w:sz w:val="24"/>
                <w:szCs w:val="24"/>
              </w:rPr>
            </w:pPr>
            <w:r w:rsidRPr="007B753C">
              <w:rPr>
                <w:rFonts w:ascii="Times New Roman" w:hAnsi="Times New Roman" w:cs="Times New Roman"/>
                <w:sz w:val="24"/>
                <w:szCs w:val="24"/>
              </w:rPr>
              <w:t>nákup výpočtovej techniky, vrátane príslušenstva;</w:t>
            </w:r>
          </w:p>
        </w:tc>
      </w:tr>
      <w:tr w:rsidR="00B62BAC" w:rsidRPr="008D1234" w14:paraId="30A6600B" w14:textId="77777777" w:rsidTr="00E51B00">
        <w:trPr>
          <w:trHeight w:val="60"/>
        </w:trPr>
        <w:tc>
          <w:tcPr>
            <w:tcW w:w="5000" w:type="pct"/>
            <w:shd w:val="clear" w:color="auto" w:fill="auto"/>
          </w:tcPr>
          <w:p w14:paraId="38A5186A" w14:textId="778B39E2" w:rsidR="00B62BAC" w:rsidRDefault="007B753C" w:rsidP="007B753C">
            <w:pPr>
              <w:pStyle w:val="Odsekzoznamu"/>
              <w:numPr>
                <w:ilvl w:val="0"/>
                <w:numId w:val="3"/>
              </w:numPr>
              <w:rPr>
                <w:rFonts w:ascii="Times New Roman" w:hAnsi="Times New Roman" w:cs="Times New Roman"/>
                <w:sz w:val="24"/>
                <w:szCs w:val="24"/>
              </w:rPr>
            </w:pPr>
            <w:r w:rsidRPr="00877581">
              <w:rPr>
                <w:rFonts w:ascii="Times New Roman" w:hAnsi="Times New Roman" w:cs="Times New Roman"/>
                <w:sz w:val="24"/>
                <w:szCs w:val="24"/>
              </w:rPr>
              <w:t>nákup telekomunikačnej techniky, vrátane príslušenstva</w:t>
            </w:r>
            <w:r w:rsidR="00B62765">
              <w:rPr>
                <w:rStyle w:val="Odkaznapoznmkupodiarou"/>
                <w:rFonts w:ascii="Times New Roman" w:hAnsi="Times New Roman"/>
                <w:sz w:val="24"/>
                <w:szCs w:val="24"/>
              </w:rPr>
              <w:footnoteReference w:id="6"/>
            </w:r>
            <w:r w:rsidRPr="00877581">
              <w:rPr>
                <w:rFonts w:ascii="Times New Roman" w:hAnsi="Times New Roman" w:cs="Times New Roman"/>
                <w:sz w:val="24"/>
                <w:szCs w:val="24"/>
              </w:rPr>
              <w:t>;</w:t>
            </w:r>
          </w:p>
        </w:tc>
      </w:tr>
      <w:tr w:rsidR="00955C33" w:rsidRPr="00592DDA" w14:paraId="4F73C7E5" w14:textId="77777777" w:rsidTr="00C97246">
        <w:trPr>
          <w:trHeight w:val="480"/>
        </w:trPr>
        <w:tc>
          <w:tcPr>
            <w:tcW w:w="5000" w:type="pct"/>
            <w:shd w:val="clear" w:color="auto" w:fill="BFBFBF" w:themeFill="background1" w:themeFillShade="BF"/>
          </w:tcPr>
          <w:p w14:paraId="56F350E8" w14:textId="52EDAF08" w:rsidR="00955C33" w:rsidRPr="00592DDA" w:rsidRDefault="00955C33" w:rsidP="00955C33">
            <w:pPr>
              <w:rPr>
                <w:rFonts w:ascii="Times New Roman" w:hAnsi="Times New Roman" w:cs="Times New Roman"/>
                <w:b/>
                <w:sz w:val="28"/>
                <w:szCs w:val="28"/>
              </w:rPr>
            </w:pPr>
            <w:r w:rsidRPr="00592DDA">
              <w:rPr>
                <w:rFonts w:ascii="Times New Roman" w:hAnsi="Times New Roman" w:cs="Times New Roman"/>
                <w:b/>
                <w:color w:val="FFFFFF" w:themeColor="background1"/>
                <w:sz w:val="28"/>
                <w:szCs w:val="28"/>
              </w:rPr>
              <w:t>Trieda</w:t>
            </w:r>
            <w:r>
              <w:rPr>
                <w:rFonts w:ascii="Times New Roman" w:hAnsi="Times New Roman" w:cs="Times New Roman"/>
                <w:b/>
                <w:color w:val="FFFFFF" w:themeColor="background1"/>
                <w:sz w:val="28"/>
                <w:szCs w:val="28"/>
              </w:rPr>
              <w:t xml:space="preserve"> 51 - Služby</w:t>
            </w:r>
          </w:p>
        </w:tc>
      </w:tr>
      <w:tr w:rsidR="00955C33" w:rsidRPr="00592DDA" w14:paraId="51F4709A" w14:textId="77777777" w:rsidTr="00C97246">
        <w:trPr>
          <w:trHeight w:val="266"/>
        </w:trPr>
        <w:tc>
          <w:tcPr>
            <w:tcW w:w="5000" w:type="pct"/>
            <w:shd w:val="clear" w:color="auto" w:fill="D9D9D9" w:themeFill="background1" w:themeFillShade="D9"/>
          </w:tcPr>
          <w:p w14:paraId="27C88072" w14:textId="774575BF" w:rsidR="00955C33" w:rsidRPr="00592DDA" w:rsidRDefault="00F72433" w:rsidP="00F72433">
            <w:pPr>
              <w:rPr>
                <w:rFonts w:ascii="Times New Roman" w:hAnsi="Times New Roman" w:cs="Times New Roman"/>
                <w:sz w:val="28"/>
                <w:szCs w:val="28"/>
              </w:rPr>
            </w:pPr>
            <w:r>
              <w:rPr>
                <w:rFonts w:ascii="Times New Roman" w:hAnsi="Times New Roman" w:cs="Times New Roman"/>
                <w:sz w:val="28"/>
                <w:szCs w:val="28"/>
              </w:rPr>
              <w:t>512</w:t>
            </w:r>
            <w:r w:rsidR="00955C33" w:rsidRPr="00E51B00">
              <w:rPr>
                <w:rFonts w:ascii="Times New Roman" w:hAnsi="Times New Roman" w:cs="Times New Roman"/>
                <w:sz w:val="28"/>
                <w:szCs w:val="28"/>
              </w:rPr>
              <w:t xml:space="preserve"> </w:t>
            </w:r>
            <w:r w:rsidR="00955C33">
              <w:rPr>
                <w:rFonts w:ascii="Times New Roman" w:hAnsi="Times New Roman" w:cs="Times New Roman"/>
                <w:sz w:val="28"/>
                <w:szCs w:val="28"/>
              </w:rPr>
              <w:t>–</w:t>
            </w:r>
            <w:r w:rsidR="00955C33" w:rsidRPr="00E51B00">
              <w:rPr>
                <w:rFonts w:ascii="Times New Roman" w:hAnsi="Times New Roman" w:cs="Times New Roman"/>
                <w:sz w:val="28"/>
                <w:szCs w:val="28"/>
              </w:rPr>
              <w:t xml:space="preserve"> </w:t>
            </w:r>
            <w:r>
              <w:rPr>
                <w:rFonts w:ascii="Times New Roman" w:hAnsi="Times New Roman" w:cs="Times New Roman"/>
                <w:sz w:val="28"/>
                <w:szCs w:val="28"/>
              </w:rPr>
              <w:t>Cestovné náhrady</w:t>
            </w:r>
            <w:r w:rsidR="00764886">
              <w:rPr>
                <w:rFonts w:ascii="Times New Roman" w:hAnsi="Times New Roman" w:cs="Times New Roman"/>
                <w:sz w:val="28"/>
                <w:szCs w:val="28"/>
              </w:rPr>
              <w:t xml:space="preserve"> </w:t>
            </w:r>
          </w:p>
        </w:tc>
      </w:tr>
      <w:tr w:rsidR="00B62BAC" w:rsidRPr="008D1234" w14:paraId="5842F463" w14:textId="77777777" w:rsidTr="00E51B00">
        <w:trPr>
          <w:trHeight w:val="60"/>
        </w:trPr>
        <w:tc>
          <w:tcPr>
            <w:tcW w:w="5000" w:type="pct"/>
            <w:shd w:val="clear" w:color="auto" w:fill="auto"/>
          </w:tcPr>
          <w:p w14:paraId="214B13CA" w14:textId="6E416DC5" w:rsidR="00B62BAC" w:rsidRPr="00501644" w:rsidRDefault="00501644" w:rsidP="0071308D">
            <w:pPr>
              <w:pStyle w:val="Odsekzoznamu"/>
              <w:numPr>
                <w:ilvl w:val="0"/>
                <w:numId w:val="5"/>
              </w:numPr>
              <w:rPr>
                <w:rFonts w:ascii="Times New Roman" w:hAnsi="Times New Roman" w:cs="Times New Roman"/>
                <w:sz w:val="24"/>
                <w:szCs w:val="24"/>
              </w:rPr>
            </w:pPr>
            <w:r w:rsidRPr="00501644">
              <w:rPr>
                <w:rFonts w:ascii="Times New Roman" w:hAnsi="Times New Roman" w:cs="Times New Roman"/>
                <w:sz w:val="24"/>
                <w:szCs w:val="24"/>
              </w:rPr>
              <w:t>tuzemské</w:t>
            </w:r>
            <w:r w:rsidR="007B6BCA">
              <w:rPr>
                <w:rFonts w:ascii="Times New Roman" w:hAnsi="Times New Roman" w:cs="Times New Roman"/>
                <w:sz w:val="24"/>
                <w:szCs w:val="24"/>
              </w:rPr>
              <w:t xml:space="preserve"> a zahraničné</w:t>
            </w:r>
            <w:r w:rsidRPr="00501644">
              <w:rPr>
                <w:rFonts w:ascii="Times New Roman" w:hAnsi="Times New Roman" w:cs="Times New Roman"/>
                <w:sz w:val="24"/>
                <w:szCs w:val="24"/>
              </w:rPr>
              <w:t xml:space="preserve"> pracovné cesty</w:t>
            </w:r>
            <w:r>
              <w:rPr>
                <w:rFonts w:ascii="Times New Roman" w:hAnsi="Times New Roman" w:cs="Times New Roman"/>
                <w:sz w:val="24"/>
                <w:szCs w:val="24"/>
              </w:rPr>
              <w:t>;</w:t>
            </w:r>
          </w:p>
        </w:tc>
      </w:tr>
      <w:tr w:rsidR="00337AE1" w:rsidRPr="008D1234" w14:paraId="3342287F" w14:textId="77777777" w:rsidTr="00C97246">
        <w:trPr>
          <w:trHeight w:val="60"/>
        </w:trPr>
        <w:tc>
          <w:tcPr>
            <w:tcW w:w="5000" w:type="pct"/>
            <w:shd w:val="clear" w:color="auto" w:fill="D9D9D9" w:themeFill="background1" w:themeFillShade="D9"/>
          </w:tcPr>
          <w:p w14:paraId="5E746B38" w14:textId="227D5310" w:rsidR="00337AE1" w:rsidRPr="007B6BCA" w:rsidRDefault="00337AE1" w:rsidP="00337AE1">
            <w:pPr>
              <w:rPr>
                <w:rFonts w:ascii="Times New Roman" w:hAnsi="Times New Roman" w:cs="Times New Roman"/>
                <w:sz w:val="24"/>
                <w:szCs w:val="24"/>
              </w:rPr>
            </w:pPr>
            <w:r>
              <w:rPr>
                <w:rFonts w:ascii="Times New Roman" w:hAnsi="Times New Roman" w:cs="Times New Roman"/>
                <w:sz w:val="28"/>
                <w:szCs w:val="28"/>
              </w:rPr>
              <w:t>518</w:t>
            </w:r>
            <w:r w:rsidRPr="00E51B00">
              <w:rPr>
                <w:rFonts w:ascii="Times New Roman" w:hAnsi="Times New Roman" w:cs="Times New Roman"/>
                <w:sz w:val="28"/>
                <w:szCs w:val="28"/>
              </w:rPr>
              <w:t xml:space="preserve"> </w:t>
            </w:r>
            <w:r>
              <w:rPr>
                <w:rFonts w:ascii="Times New Roman" w:hAnsi="Times New Roman" w:cs="Times New Roman"/>
                <w:sz w:val="28"/>
                <w:szCs w:val="28"/>
              </w:rPr>
              <w:t>–</w:t>
            </w:r>
            <w:r w:rsidRPr="00E51B00">
              <w:rPr>
                <w:rFonts w:ascii="Times New Roman" w:hAnsi="Times New Roman" w:cs="Times New Roman"/>
                <w:sz w:val="28"/>
                <w:szCs w:val="28"/>
              </w:rPr>
              <w:t xml:space="preserve"> </w:t>
            </w:r>
            <w:r>
              <w:rPr>
                <w:rFonts w:ascii="Times New Roman" w:hAnsi="Times New Roman" w:cs="Times New Roman"/>
                <w:sz w:val="28"/>
                <w:szCs w:val="28"/>
              </w:rPr>
              <w:t xml:space="preserve">Ostatné služby </w:t>
            </w:r>
          </w:p>
        </w:tc>
      </w:tr>
      <w:tr w:rsidR="00B62BAC" w:rsidRPr="008D1234" w14:paraId="527696DA" w14:textId="77777777" w:rsidTr="00E51B00">
        <w:trPr>
          <w:trHeight w:val="60"/>
        </w:trPr>
        <w:tc>
          <w:tcPr>
            <w:tcW w:w="5000" w:type="pct"/>
            <w:shd w:val="clear" w:color="auto" w:fill="auto"/>
          </w:tcPr>
          <w:p w14:paraId="1167B424" w14:textId="4721A5A1" w:rsidR="00B62BAC" w:rsidRPr="00337AE1" w:rsidRDefault="004554E1" w:rsidP="0071308D">
            <w:pPr>
              <w:pStyle w:val="Odsekzoznamu"/>
              <w:numPr>
                <w:ilvl w:val="0"/>
                <w:numId w:val="5"/>
              </w:numPr>
              <w:rPr>
                <w:rFonts w:ascii="Times New Roman" w:hAnsi="Times New Roman" w:cs="Times New Roman"/>
                <w:sz w:val="24"/>
                <w:szCs w:val="24"/>
              </w:rPr>
            </w:pPr>
            <w:r>
              <w:rPr>
                <w:rFonts w:ascii="Times New Roman" w:hAnsi="Times New Roman" w:cs="Times New Roman"/>
                <w:sz w:val="24"/>
                <w:szCs w:val="24"/>
              </w:rPr>
              <w:t>š</w:t>
            </w:r>
            <w:r w:rsidRPr="004554E1">
              <w:rPr>
                <w:rFonts w:ascii="Times New Roman" w:hAnsi="Times New Roman" w:cs="Times New Roman"/>
                <w:sz w:val="24"/>
                <w:szCs w:val="24"/>
              </w:rPr>
              <w:t>kolenia, kurzy, semináre, porady, konferencie, sympóziá</w:t>
            </w:r>
            <w:r>
              <w:rPr>
                <w:rFonts w:ascii="Times New Roman" w:hAnsi="Times New Roman" w:cs="Times New Roman"/>
                <w:sz w:val="24"/>
                <w:szCs w:val="24"/>
              </w:rPr>
              <w:t>;</w:t>
            </w:r>
          </w:p>
        </w:tc>
      </w:tr>
      <w:tr w:rsidR="00B62BAC" w:rsidRPr="008D1234" w14:paraId="7EDCA516" w14:textId="77777777" w:rsidTr="00E51B00">
        <w:trPr>
          <w:trHeight w:val="60"/>
        </w:trPr>
        <w:tc>
          <w:tcPr>
            <w:tcW w:w="5000" w:type="pct"/>
            <w:shd w:val="clear" w:color="auto" w:fill="auto"/>
          </w:tcPr>
          <w:p w14:paraId="651201D1" w14:textId="752962F3" w:rsidR="00B62BAC" w:rsidRPr="004554E1" w:rsidRDefault="004554E1" w:rsidP="0071308D">
            <w:pPr>
              <w:pStyle w:val="Odsekzoznamu"/>
              <w:numPr>
                <w:ilvl w:val="0"/>
                <w:numId w:val="5"/>
              </w:numPr>
              <w:rPr>
                <w:rFonts w:ascii="Times New Roman" w:hAnsi="Times New Roman" w:cs="Times New Roman"/>
                <w:sz w:val="24"/>
                <w:szCs w:val="24"/>
              </w:rPr>
            </w:pPr>
            <w:r>
              <w:rPr>
                <w:rFonts w:ascii="Times New Roman" w:hAnsi="Times New Roman" w:cs="Times New Roman"/>
                <w:sz w:val="24"/>
                <w:szCs w:val="24"/>
              </w:rPr>
              <w:t>v</w:t>
            </w:r>
            <w:r w:rsidRPr="004554E1">
              <w:rPr>
                <w:rFonts w:ascii="Times New Roman" w:hAnsi="Times New Roman" w:cs="Times New Roman"/>
                <w:sz w:val="24"/>
                <w:szCs w:val="24"/>
              </w:rPr>
              <w:t>šeobecné služby</w:t>
            </w:r>
            <w:r>
              <w:rPr>
                <w:rFonts w:ascii="Times New Roman" w:hAnsi="Times New Roman" w:cs="Times New Roman"/>
                <w:sz w:val="24"/>
                <w:szCs w:val="24"/>
              </w:rPr>
              <w:t xml:space="preserve"> (napr. tlač brožúr a iných publikácií (aj distribúcia));</w:t>
            </w:r>
          </w:p>
        </w:tc>
      </w:tr>
      <w:tr w:rsidR="00B62BAC" w:rsidRPr="008D1234" w14:paraId="6B8F5F0E" w14:textId="77777777" w:rsidTr="00E51B00">
        <w:trPr>
          <w:trHeight w:val="60"/>
        </w:trPr>
        <w:tc>
          <w:tcPr>
            <w:tcW w:w="5000" w:type="pct"/>
            <w:shd w:val="clear" w:color="auto" w:fill="auto"/>
          </w:tcPr>
          <w:p w14:paraId="22427BAD" w14:textId="66EE2954" w:rsidR="00B62BAC" w:rsidRPr="008F3630" w:rsidRDefault="008F3630" w:rsidP="0071308D">
            <w:pPr>
              <w:pStyle w:val="Odsekzoznamu"/>
              <w:numPr>
                <w:ilvl w:val="0"/>
                <w:numId w:val="5"/>
              </w:numPr>
              <w:rPr>
                <w:rFonts w:ascii="Times New Roman" w:hAnsi="Times New Roman" w:cs="Times New Roman"/>
                <w:sz w:val="24"/>
                <w:szCs w:val="24"/>
              </w:rPr>
            </w:pPr>
            <w:r>
              <w:rPr>
                <w:rFonts w:ascii="Times New Roman" w:hAnsi="Times New Roman" w:cs="Times New Roman"/>
                <w:sz w:val="24"/>
                <w:szCs w:val="24"/>
              </w:rPr>
              <w:t xml:space="preserve">špeciálne služby (napr. </w:t>
            </w:r>
            <w:r w:rsidRPr="008F3630">
              <w:rPr>
                <w:rFonts w:ascii="Times New Roman" w:hAnsi="Times New Roman" w:cs="Times New Roman"/>
                <w:sz w:val="24"/>
                <w:szCs w:val="24"/>
              </w:rPr>
              <w:t>služby poskytnuté formou outsourcingu</w:t>
            </w:r>
            <w:r>
              <w:rPr>
                <w:rFonts w:ascii="Times New Roman" w:hAnsi="Times New Roman" w:cs="Times New Roman"/>
                <w:sz w:val="24"/>
                <w:szCs w:val="24"/>
              </w:rPr>
              <w:t xml:space="preserve">, </w:t>
            </w:r>
            <w:r w:rsidRPr="008F3630">
              <w:rPr>
                <w:rFonts w:ascii="Times New Roman" w:hAnsi="Times New Roman" w:cs="Times New Roman"/>
                <w:sz w:val="24"/>
                <w:szCs w:val="24"/>
              </w:rPr>
              <w:t>služby externého manažmentu na projekty pre čerpanie finančných prostriedkov z</w:t>
            </w:r>
            <w:r>
              <w:rPr>
                <w:rFonts w:ascii="Times New Roman" w:hAnsi="Times New Roman" w:cs="Times New Roman"/>
                <w:sz w:val="24"/>
                <w:szCs w:val="24"/>
              </w:rPr>
              <w:t> </w:t>
            </w:r>
            <w:r w:rsidRPr="008F3630">
              <w:rPr>
                <w:rFonts w:ascii="Times New Roman" w:hAnsi="Times New Roman" w:cs="Times New Roman"/>
                <w:sz w:val="24"/>
                <w:szCs w:val="24"/>
              </w:rPr>
              <w:t>EÚ</w:t>
            </w:r>
            <w:r>
              <w:rPr>
                <w:rFonts w:ascii="Times New Roman" w:hAnsi="Times New Roman" w:cs="Times New Roman"/>
                <w:sz w:val="24"/>
                <w:szCs w:val="24"/>
              </w:rPr>
              <w:t>)</w:t>
            </w:r>
          </w:p>
        </w:tc>
      </w:tr>
      <w:tr w:rsidR="00C97246" w:rsidRPr="00592DDA" w14:paraId="4910C147" w14:textId="77777777" w:rsidTr="00C97246">
        <w:trPr>
          <w:trHeight w:val="480"/>
        </w:trPr>
        <w:tc>
          <w:tcPr>
            <w:tcW w:w="5000" w:type="pct"/>
            <w:shd w:val="clear" w:color="auto" w:fill="BFBFBF" w:themeFill="background1" w:themeFillShade="BF"/>
          </w:tcPr>
          <w:p w14:paraId="07364C10" w14:textId="22A0DE4A" w:rsidR="00C97246" w:rsidRPr="00592DDA" w:rsidRDefault="00C97246" w:rsidP="00C97246">
            <w:pPr>
              <w:rPr>
                <w:rFonts w:ascii="Times New Roman" w:hAnsi="Times New Roman" w:cs="Times New Roman"/>
                <w:b/>
                <w:sz w:val="28"/>
                <w:szCs w:val="28"/>
              </w:rPr>
            </w:pPr>
            <w:r w:rsidRPr="00592DDA">
              <w:rPr>
                <w:rFonts w:ascii="Times New Roman" w:hAnsi="Times New Roman" w:cs="Times New Roman"/>
                <w:b/>
                <w:color w:val="FFFFFF" w:themeColor="background1"/>
                <w:sz w:val="28"/>
                <w:szCs w:val="28"/>
              </w:rPr>
              <w:t>Trieda</w:t>
            </w:r>
            <w:r>
              <w:rPr>
                <w:rFonts w:ascii="Times New Roman" w:hAnsi="Times New Roman" w:cs="Times New Roman"/>
                <w:b/>
                <w:color w:val="FFFFFF" w:themeColor="background1"/>
                <w:sz w:val="28"/>
                <w:szCs w:val="28"/>
              </w:rPr>
              <w:t xml:space="preserve"> 52 – Osobné výdavky</w:t>
            </w:r>
          </w:p>
        </w:tc>
      </w:tr>
      <w:tr w:rsidR="00C97246" w:rsidRPr="00592DDA" w14:paraId="2A02B47C" w14:textId="77777777" w:rsidTr="00C97246">
        <w:trPr>
          <w:trHeight w:val="266"/>
        </w:trPr>
        <w:tc>
          <w:tcPr>
            <w:tcW w:w="5000" w:type="pct"/>
            <w:shd w:val="clear" w:color="auto" w:fill="D9D9D9" w:themeFill="background1" w:themeFillShade="D9"/>
          </w:tcPr>
          <w:p w14:paraId="22D394DD" w14:textId="2575AC12" w:rsidR="00C97246" w:rsidRPr="00592DDA" w:rsidRDefault="00C97246" w:rsidP="00C97246">
            <w:pPr>
              <w:rPr>
                <w:rFonts w:ascii="Times New Roman" w:hAnsi="Times New Roman" w:cs="Times New Roman"/>
                <w:sz w:val="28"/>
                <w:szCs w:val="28"/>
              </w:rPr>
            </w:pPr>
            <w:r>
              <w:rPr>
                <w:rFonts w:ascii="Times New Roman" w:hAnsi="Times New Roman" w:cs="Times New Roman"/>
                <w:sz w:val="28"/>
                <w:szCs w:val="28"/>
              </w:rPr>
              <w:t>521</w:t>
            </w:r>
            <w:r w:rsidRPr="00E51B00">
              <w:rPr>
                <w:rFonts w:ascii="Times New Roman" w:hAnsi="Times New Roman" w:cs="Times New Roman"/>
                <w:sz w:val="28"/>
                <w:szCs w:val="28"/>
              </w:rPr>
              <w:t xml:space="preserve"> </w:t>
            </w:r>
            <w:r>
              <w:rPr>
                <w:rFonts w:ascii="Times New Roman" w:hAnsi="Times New Roman" w:cs="Times New Roman"/>
                <w:sz w:val="28"/>
                <w:szCs w:val="28"/>
              </w:rPr>
              <w:t>–</w:t>
            </w:r>
            <w:r w:rsidRPr="00E51B00">
              <w:rPr>
                <w:rFonts w:ascii="Times New Roman" w:hAnsi="Times New Roman" w:cs="Times New Roman"/>
                <w:sz w:val="28"/>
                <w:szCs w:val="28"/>
              </w:rPr>
              <w:t xml:space="preserve"> </w:t>
            </w:r>
            <w:r>
              <w:rPr>
                <w:rFonts w:ascii="Times New Roman" w:hAnsi="Times New Roman" w:cs="Times New Roman"/>
                <w:sz w:val="28"/>
                <w:szCs w:val="28"/>
              </w:rPr>
              <w:t xml:space="preserve">Mzdové výdavky </w:t>
            </w:r>
            <w:r w:rsidR="005330B7">
              <w:rPr>
                <w:rFonts w:ascii="Times New Roman" w:hAnsi="Times New Roman" w:cs="Times New Roman"/>
                <w:sz w:val="28"/>
                <w:szCs w:val="28"/>
              </w:rPr>
              <w:t xml:space="preserve"> </w:t>
            </w:r>
          </w:p>
        </w:tc>
      </w:tr>
      <w:tr w:rsidR="00B62BAC" w:rsidRPr="008D1234" w14:paraId="250473CD" w14:textId="77777777" w:rsidTr="00E51B00">
        <w:trPr>
          <w:trHeight w:val="60"/>
        </w:trPr>
        <w:tc>
          <w:tcPr>
            <w:tcW w:w="5000" w:type="pct"/>
            <w:shd w:val="clear" w:color="auto" w:fill="auto"/>
          </w:tcPr>
          <w:p w14:paraId="48BF149C" w14:textId="2DB3792B" w:rsidR="008424AF" w:rsidRDefault="00C97246" w:rsidP="0071308D">
            <w:pPr>
              <w:pStyle w:val="Odsekzoznamu"/>
              <w:numPr>
                <w:ilvl w:val="0"/>
                <w:numId w:val="6"/>
              </w:numPr>
              <w:rPr>
                <w:rFonts w:ascii="Times New Roman" w:hAnsi="Times New Roman" w:cs="Times New Roman"/>
                <w:sz w:val="24"/>
                <w:szCs w:val="24"/>
              </w:rPr>
            </w:pPr>
            <w:r>
              <w:rPr>
                <w:rFonts w:ascii="Times New Roman" w:hAnsi="Times New Roman" w:cs="Times New Roman"/>
                <w:sz w:val="24"/>
                <w:szCs w:val="24"/>
              </w:rPr>
              <w:t xml:space="preserve">mzdy, platy, služobné príjmy a ostatné osobné vyrovnania, tarifný plat, osobný plat, základný plat, funkčný plat, hodnostný plat, plat vrátane ich náhrad, príplatky, poistné do Všeobecnej zdravotnej poisťovne, poistné do ostatných zdravotných poisťovní, poistné do Sociálnej poisťovne, príspevok </w:t>
            </w:r>
            <w:r w:rsidR="008424AF">
              <w:rPr>
                <w:rFonts w:ascii="Times New Roman" w:hAnsi="Times New Roman" w:cs="Times New Roman"/>
                <w:sz w:val="24"/>
                <w:szCs w:val="24"/>
              </w:rPr>
              <w:t>na starobné dôchodkové sporenie;</w:t>
            </w:r>
          </w:p>
          <w:p w14:paraId="0AFD2CFC" w14:textId="431E8447" w:rsidR="008424AF" w:rsidRDefault="008424AF" w:rsidP="0071308D">
            <w:pPr>
              <w:pStyle w:val="Odsekzoznamu"/>
              <w:numPr>
                <w:ilvl w:val="0"/>
                <w:numId w:val="6"/>
              </w:numPr>
              <w:rPr>
                <w:rFonts w:ascii="Times New Roman" w:hAnsi="Times New Roman" w:cs="Times New Roman"/>
                <w:sz w:val="24"/>
                <w:szCs w:val="24"/>
              </w:rPr>
            </w:pPr>
            <w:r>
              <w:rPr>
                <w:rFonts w:ascii="Times New Roman" w:hAnsi="Times New Roman" w:cs="Times New Roman"/>
                <w:sz w:val="24"/>
                <w:szCs w:val="24"/>
              </w:rPr>
              <w:t>odmeny zamestnancov mimo pracovného pomeru;</w:t>
            </w:r>
          </w:p>
          <w:p w14:paraId="5398B92A" w14:textId="270C755C" w:rsidR="00B62BAC" w:rsidRPr="00C97246" w:rsidRDefault="008424AF" w:rsidP="0071308D">
            <w:pPr>
              <w:pStyle w:val="Odsekzoznamu"/>
              <w:numPr>
                <w:ilvl w:val="0"/>
                <w:numId w:val="6"/>
              </w:numPr>
              <w:rPr>
                <w:rFonts w:ascii="Times New Roman" w:hAnsi="Times New Roman" w:cs="Times New Roman"/>
                <w:sz w:val="24"/>
                <w:szCs w:val="24"/>
              </w:rPr>
            </w:pPr>
            <w:r>
              <w:rPr>
                <w:rFonts w:ascii="Times New Roman" w:hAnsi="Times New Roman" w:cs="Times New Roman"/>
                <w:sz w:val="24"/>
                <w:szCs w:val="24"/>
              </w:rPr>
              <w:t>nemocenské dávky.</w:t>
            </w:r>
          </w:p>
        </w:tc>
      </w:tr>
    </w:tbl>
    <w:p w14:paraId="6882A0FF" w14:textId="77777777" w:rsidR="008D1234" w:rsidRPr="00DC7648" w:rsidRDefault="008D1234" w:rsidP="006A18E6">
      <w:pPr>
        <w:tabs>
          <w:tab w:val="left" w:pos="2715"/>
        </w:tabs>
        <w:jc w:val="center"/>
      </w:pPr>
      <w:bookmarkStart w:id="0" w:name="_GoBack"/>
      <w:bookmarkEnd w:id="0"/>
    </w:p>
    <w:sectPr w:rsidR="008D1234" w:rsidRPr="00DC7648">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D3E7B" w14:textId="77777777" w:rsidR="005330B7" w:rsidRDefault="005330B7" w:rsidP="00AD61A5">
      <w:pPr>
        <w:spacing w:after="0" w:line="240" w:lineRule="auto"/>
      </w:pPr>
      <w:r>
        <w:separator/>
      </w:r>
    </w:p>
  </w:endnote>
  <w:endnote w:type="continuationSeparator" w:id="0">
    <w:p w14:paraId="60361FC9" w14:textId="77777777" w:rsidR="005330B7" w:rsidRDefault="005330B7" w:rsidP="00AD61A5">
      <w:pPr>
        <w:spacing w:after="0" w:line="240" w:lineRule="auto"/>
      </w:pPr>
      <w:r>
        <w:continuationSeparator/>
      </w:r>
    </w:p>
  </w:endnote>
  <w:endnote w:type="continuationNotice" w:id="1">
    <w:p w14:paraId="7D681CA8" w14:textId="77777777" w:rsidR="005330B7" w:rsidRDefault="005330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C8A061" w14:textId="77777777" w:rsidR="005330B7" w:rsidRDefault="005330B7" w:rsidP="00AD61A5">
      <w:pPr>
        <w:spacing w:after="0" w:line="240" w:lineRule="auto"/>
      </w:pPr>
      <w:r>
        <w:separator/>
      </w:r>
    </w:p>
  </w:footnote>
  <w:footnote w:type="continuationSeparator" w:id="0">
    <w:p w14:paraId="7FFB8C34" w14:textId="77777777" w:rsidR="005330B7" w:rsidRDefault="005330B7" w:rsidP="00AD61A5">
      <w:pPr>
        <w:spacing w:after="0" w:line="240" w:lineRule="auto"/>
      </w:pPr>
      <w:r>
        <w:continuationSeparator/>
      </w:r>
    </w:p>
  </w:footnote>
  <w:footnote w:type="continuationNotice" w:id="1">
    <w:p w14:paraId="2BEE144D" w14:textId="77777777" w:rsidR="005330B7" w:rsidRDefault="005330B7">
      <w:pPr>
        <w:spacing w:after="0" w:line="240" w:lineRule="auto"/>
      </w:pPr>
    </w:p>
  </w:footnote>
  <w:footnote w:id="2">
    <w:p w14:paraId="6882A108" w14:textId="77777777" w:rsidR="005330B7" w:rsidRDefault="005330B7" w:rsidP="00D27408">
      <w:pPr>
        <w:pStyle w:val="Textpoznmkypodiarou"/>
        <w:jc w:val="both"/>
      </w:pPr>
      <w:r>
        <w:rPr>
          <w:rStyle w:val="Odkaznapoznmkupodiarou"/>
        </w:rPr>
        <w:footnoteRef/>
      </w:r>
      <w:r>
        <w:t xml:space="preserve"> </w:t>
      </w:r>
      <w:r w:rsidRPr="00D27408">
        <w:t>Radia sa sem zložky nehmotného majetku, ktorých ocenenie je vyššie ako suma 2 400 EUR a doba použiteľnosti dlhšia ako jeden rok. Podľa rozhodnutia účtovnej jednotky/prijímateľa sem možno zaradiť aj dlhodobý nehmotný majetok, ktorého ocenenie sa rovná tejto sume alebo je nižšie, ak doba použiteľnosti tohto majetku je dlhšia ako jeden rok a účtovná jednotka postupuje v súlade so svojou internou smernicou k postupom účtovania.</w:t>
      </w:r>
    </w:p>
  </w:footnote>
  <w:footnote w:id="3">
    <w:p w14:paraId="2055264C" w14:textId="6EEA07A9" w:rsidR="00432591" w:rsidRDefault="00432591" w:rsidP="003F4CCA">
      <w:pPr>
        <w:pStyle w:val="Textpoznmkypodiarou"/>
        <w:jc w:val="both"/>
      </w:pPr>
      <w:r>
        <w:rPr>
          <w:rStyle w:val="Odkaznapoznmkupodiarou"/>
        </w:rPr>
        <w:footnoteRef/>
      </w:r>
      <w:r>
        <w:t xml:space="preserve"> </w:t>
      </w:r>
      <w:r w:rsidRPr="00432591">
        <w:t xml:space="preserve">Radí sa sem hmotný majetok, ktorý má samostatné technicko-ekonomické určenie s dobou použiteľnosti dlhšou ako jeden rok a v ocenení vyššom ako je suma 1 700 EUR. Podľa rozhodnutia účtovnej jednotky/prijímateľa sem možno zaradiť aj dlhodobý hmotný majetok, ktorého ocenenie sa rovná tejto sume alebo je nižšie, ak doba použiteľnosti tohto majetku je dlhšia ako jeden rok a účtovná jednotka postupuje v súlade so svojou internou smernicou k postupom účtovania.  </w:t>
      </w:r>
    </w:p>
  </w:footnote>
  <w:footnote w:id="4">
    <w:p w14:paraId="4B93006B" w14:textId="3BAABC25" w:rsidR="005330B7" w:rsidRDefault="005330B7" w:rsidP="000A15E2">
      <w:pPr>
        <w:pStyle w:val="Textpoznmkypodiarou"/>
        <w:jc w:val="both"/>
      </w:pPr>
      <w:r>
        <w:rPr>
          <w:rStyle w:val="Odkaznapoznmkupodiarou"/>
        </w:rPr>
        <w:footnoteRef/>
      </w:r>
      <w:r>
        <w:t xml:space="preserve"> Pri obstarávaní výpočtovej techniky sa pre potreby ekonomickej klasifikácie pod pojmom počítač rozumie monitor, hardvér, klávesnica a myš. Príslušenstvo k počítaču je všetko, čo sa priradí k hlavnej veci – počítaču súčasne alebo dodatočne, tvorí s hlavnou vecou jeden celok a je súčasťou jeho ocenenia (napr. tlačiareň, podávač k tlačiarni, modem, skener k počítaču). Pokiaľ príslušné predmety netvoria s hlavnou vecou jeden majetkový celok, ide o samostatné hnuteľné veci a kritérium pre zatriedenie výdavkov je obstarávacia cena. </w:t>
      </w:r>
    </w:p>
  </w:footnote>
  <w:footnote w:id="5">
    <w:p w14:paraId="504D7793" w14:textId="77EA09A5" w:rsidR="000A15E2" w:rsidRDefault="000A15E2" w:rsidP="000A15E2">
      <w:pPr>
        <w:pStyle w:val="Textpoznmkypodiarou"/>
        <w:jc w:val="both"/>
      </w:pPr>
      <w:r>
        <w:rPr>
          <w:rStyle w:val="Odkaznapoznmkupodiarou"/>
        </w:rPr>
        <w:footnoteRef/>
      </w:r>
      <w:r>
        <w:t xml:space="preserve"> </w:t>
      </w:r>
      <w:r w:rsidRPr="000A15E2">
        <w:t xml:space="preserve">V rámci triedy sa zaraďujú hnuteľné veci s dobou použiteľnosti najviac jeden rok bez ohľadu na obstarávaciu cenu. V danej triede sa vykazuje aj hmotný majetok, ktorý nie je definovaný ako dlhodobý hmotný majetok (trieda 02)  </w:t>
      </w:r>
    </w:p>
  </w:footnote>
  <w:footnote w:id="6">
    <w:p w14:paraId="333893FB" w14:textId="76536046" w:rsidR="00B62765" w:rsidRDefault="00B62765" w:rsidP="000A15E2">
      <w:pPr>
        <w:pStyle w:val="Textpoznmkypodiarou"/>
        <w:jc w:val="both"/>
      </w:pPr>
      <w:r>
        <w:rPr>
          <w:rStyle w:val="Odkaznapoznmkupodiarou"/>
        </w:rPr>
        <w:footnoteRef/>
      </w:r>
      <w:r>
        <w:t xml:space="preserve"> Vrátane špeciálneho spojovacieho a zabezpečovacieho materiálu a materiálu pre zabezpečenie zvukového a obrazového spojenia. Samostatné zariadenia na prenos informácií pripojené na rozvodné siete.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92D20" w14:textId="79240D1D" w:rsidR="005330B7" w:rsidRPr="004A4970" w:rsidRDefault="00C6070E" w:rsidP="004A4970">
    <w:pPr>
      <w:pStyle w:val="Hlavika"/>
      <w:rPr>
        <w:rFonts w:ascii="Times New Roman" w:hAnsi="Times New Roman" w:cs="Times New Roman"/>
        <w:i/>
      </w:rPr>
    </w:pPr>
    <w:r>
      <w:rPr>
        <w:i/>
      </w:rPr>
      <w:tab/>
      <w:t xml:space="preserve">                                              </w:t>
    </w:r>
    <w:r w:rsidR="004A4970">
      <w:rPr>
        <w:i/>
      </w:rPr>
      <w:t xml:space="preserve">         </w:t>
    </w:r>
    <w:r w:rsidR="005330B7" w:rsidRPr="004A4970">
      <w:rPr>
        <w:rFonts w:ascii="Times New Roman" w:hAnsi="Times New Roman" w:cs="Times New Roman"/>
        <w:i/>
      </w:rPr>
      <w:t xml:space="preserve">Príloha č.6a </w:t>
    </w:r>
    <w:r w:rsidR="004A4970" w:rsidRPr="00E801D1">
      <w:rPr>
        <w:i/>
      </w:rPr>
      <w:t>k Výzve č</w:t>
    </w:r>
    <w:r w:rsidR="004A4970" w:rsidRPr="00672EDD">
      <w:rPr>
        <w:i/>
      </w:rPr>
      <w:t xml:space="preserve">. </w:t>
    </w:r>
    <w:r w:rsidR="004A4970">
      <w:rPr>
        <w:i/>
      </w:rPr>
      <w:t>27</w:t>
    </w:r>
    <w:r w:rsidR="004A4970" w:rsidRPr="00672EDD">
      <w:rPr>
        <w:i/>
      </w:rPr>
      <w:t xml:space="preserve">: </w:t>
    </w:r>
    <w:r w:rsidR="005330B7" w:rsidRPr="004A4970">
      <w:rPr>
        <w:rFonts w:ascii="Times New Roman" w:hAnsi="Times New Roman" w:cs="Times New Roman"/>
        <w:i/>
      </w:rPr>
      <w:t xml:space="preserve"> </w:t>
    </w:r>
    <w:r w:rsidRPr="004A4970">
      <w:rPr>
        <w:rFonts w:ascii="Times New Roman" w:hAnsi="Times New Roman" w:cs="Times New Roman"/>
        <w:i/>
      </w:rPr>
      <w:t>Osobitné podmienky oprávnenosti výdavkov</w:t>
    </w:r>
  </w:p>
  <w:p w14:paraId="71638730" w14:textId="77777777" w:rsidR="005330B7" w:rsidRDefault="005330B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10894"/>
    <w:multiLevelType w:val="hybridMultilevel"/>
    <w:tmpl w:val="C6624C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3A6D2D49"/>
    <w:multiLevelType w:val="hybridMultilevel"/>
    <w:tmpl w:val="F48AD6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429C14FD"/>
    <w:multiLevelType w:val="hybridMultilevel"/>
    <w:tmpl w:val="603EB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68DF0928"/>
    <w:multiLevelType w:val="hybridMultilevel"/>
    <w:tmpl w:val="2AAA49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6C2D376C"/>
    <w:multiLevelType w:val="hybridMultilevel"/>
    <w:tmpl w:val="B868237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6E7B3B8C"/>
    <w:multiLevelType w:val="hybridMultilevel"/>
    <w:tmpl w:val="55AE4E1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1A5"/>
    <w:rsid w:val="00086910"/>
    <w:rsid w:val="000A15E2"/>
    <w:rsid w:val="00113BA0"/>
    <w:rsid w:val="001164B3"/>
    <w:rsid w:val="001856A9"/>
    <w:rsid w:val="001B048B"/>
    <w:rsid w:val="001C25AE"/>
    <w:rsid w:val="001E6837"/>
    <w:rsid w:val="0020688E"/>
    <w:rsid w:val="002350E9"/>
    <w:rsid w:val="00246F10"/>
    <w:rsid w:val="00283702"/>
    <w:rsid w:val="00284C28"/>
    <w:rsid w:val="002E2D9B"/>
    <w:rsid w:val="00336DBC"/>
    <w:rsid w:val="00337AE1"/>
    <w:rsid w:val="00357883"/>
    <w:rsid w:val="003F4CCA"/>
    <w:rsid w:val="0043112F"/>
    <w:rsid w:val="00432591"/>
    <w:rsid w:val="0044184B"/>
    <w:rsid w:val="004554E1"/>
    <w:rsid w:val="004A4970"/>
    <w:rsid w:val="00501644"/>
    <w:rsid w:val="005330B7"/>
    <w:rsid w:val="005544D3"/>
    <w:rsid w:val="00592DDA"/>
    <w:rsid w:val="005A5787"/>
    <w:rsid w:val="005B692E"/>
    <w:rsid w:val="005F2A9E"/>
    <w:rsid w:val="006A18E6"/>
    <w:rsid w:val="006C37DF"/>
    <w:rsid w:val="0071308D"/>
    <w:rsid w:val="00764886"/>
    <w:rsid w:val="0077759C"/>
    <w:rsid w:val="00791FE7"/>
    <w:rsid w:val="007B6BCA"/>
    <w:rsid w:val="007B753C"/>
    <w:rsid w:val="008219DA"/>
    <w:rsid w:val="0083579E"/>
    <w:rsid w:val="008424AF"/>
    <w:rsid w:val="00877581"/>
    <w:rsid w:val="008D1234"/>
    <w:rsid w:val="008F3630"/>
    <w:rsid w:val="0092688E"/>
    <w:rsid w:val="00955C33"/>
    <w:rsid w:val="009B6513"/>
    <w:rsid w:val="00A23368"/>
    <w:rsid w:val="00AD61A5"/>
    <w:rsid w:val="00B02009"/>
    <w:rsid w:val="00B0447A"/>
    <w:rsid w:val="00B0708C"/>
    <w:rsid w:val="00B62765"/>
    <w:rsid w:val="00B62BAC"/>
    <w:rsid w:val="00B804D7"/>
    <w:rsid w:val="00BD3710"/>
    <w:rsid w:val="00BE3885"/>
    <w:rsid w:val="00C128B4"/>
    <w:rsid w:val="00C31918"/>
    <w:rsid w:val="00C6070E"/>
    <w:rsid w:val="00C97246"/>
    <w:rsid w:val="00D2665B"/>
    <w:rsid w:val="00D27408"/>
    <w:rsid w:val="00D40001"/>
    <w:rsid w:val="00D66FF0"/>
    <w:rsid w:val="00DC7648"/>
    <w:rsid w:val="00DE7FC5"/>
    <w:rsid w:val="00E32FBC"/>
    <w:rsid w:val="00E47FBB"/>
    <w:rsid w:val="00E51B00"/>
    <w:rsid w:val="00F50AEE"/>
    <w:rsid w:val="00F72433"/>
    <w:rsid w:val="00F816E2"/>
    <w:rsid w:val="00F8294C"/>
    <w:rsid w:val="00FB1ABA"/>
    <w:rsid w:val="00FF1C2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882A0C8"/>
  <w15:chartTrackingRefBased/>
  <w15:docId w15:val="{A7F9A7AD-5049-49C1-8E07-0C7CC4172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3">
    <w:name w:val="heading 3"/>
    <w:basedOn w:val="Normlny"/>
    <w:next w:val="Normlny"/>
    <w:link w:val="Nadpis3Char"/>
    <w:uiPriority w:val="9"/>
    <w:semiHidden/>
    <w:unhideWhenUsed/>
    <w:qFormat/>
    <w:rsid w:val="008D12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AD61A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D61A5"/>
  </w:style>
  <w:style w:type="paragraph" w:styleId="Pta">
    <w:name w:val="footer"/>
    <w:basedOn w:val="Normlny"/>
    <w:link w:val="PtaChar"/>
    <w:uiPriority w:val="99"/>
    <w:unhideWhenUsed/>
    <w:rsid w:val="00AD61A5"/>
    <w:pPr>
      <w:tabs>
        <w:tab w:val="center" w:pos="4536"/>
        <w:tab w:val="right" w:pos="9072"/>
      </w:tabs>
      <w:spacing w:after="0" w:line="240" w:lineRule="auto"/>
    </w:pPr>
  </w:style>
  <w:style w:type="character" w:customStyle="1" w:styleId="PtaChar">
    <w:name w:val="Päta Char"/>
    <w:basedOn w:val="Predvolenpsmoodseku"/>
    <w:link w:val="Pta"/>
    <w:uiPriority w:val="99"/>
    <w:rsid w:val="00AD61A5"/>
  </w:style>
  <w:style w:type="paragraph" w:customStyle="1" w:styleId="MPCKO2">
    <w:name w:val="MP CKO 2"/>
    <w:basedOn w:val="Nadpis3"/>
    <w:qFormat/>
    <w:rsid w:val="008D1234"/>
    <w:pPr>
      <w:spacing w:before="200" w:line="240" w:lineRule="auto"/>
      <w:jc w:val="both"/>
    </w:pPr>
    <w:rPr>
      <w:rFonts w:ascii="Times New Roman" w:hAnsi="Times New Roman"/>
      <w:b/>
      <w:bCs/>
      <w:color w:val="2E74B5" w:themeColor="accent1" w:themeShade="BF"/>
      <w:sz w:val="26"/>
      <w:szCs w:val="22"/>
    </w:rPr>
  </w:style>
  <w:style w:type="character" w:customStyle="1" w:styleId="Nadpis3Char">
    <w:name w:val="Nadpis 3 Char"/>
    <w:basedOn w:val="Predvolenpsmoodseku"/>
    <w:link w:val="Nadpis3"/>
    <w:uiPriority w:val="9"/>
    <w:semiHidden/>
    <w:rsid w:val="008D1234"/>
    <w:rPr>
      <w:rFonts w:asciiTheme="majorHAnsi" w:eastAsiaTheme="majorEastAsia" w:hAnsiTheme="majorHAnsi" w:cstheme="majorBidi"/>
      <w:color w:val="1F4D78" w:themeColor="accent1" w:themeShade="7F"/>
      <w:sz w:val="24"/>
      <w:szCs w:val="24"/>
    </w:rPr>
  </w:style>
  <w:style w:type="paragraph" w:styleId="Textpoznmkypodiarou">
    <w:name w:val="footnote text"/>
    <w:basedOn w:val="Normlny"/>
    <w:link w:val="TextpoznmkypodiarouChar"/>
    <w:uiPriority w:val="99"/>
    <w:semiHidden/>
    <w:unhideWhenUsed/>
    <w:rsid w:val="008D1234"/>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semiHidden/>
    <w:rsid w:val="008D1234"/>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
    <w:basedOn w:val="Predvolenpsmoodseku"/>
    <w:link w:val="Char2"/>
    <w:uiPriority w:val="99"/>
    <w:rsid w:val="008D1234"/>
    <w:rPr>
      <w:rFonts w:cs="Times New Roman"/>
      <w:vertAlign w:val="superscript"/>
    </w:rPr>
  </w:style>
  <w:style w:type="table" w:customStyle="1" w:styleId="Mriekatabuky1">
    <w:name w:val="Mriežka tabuľky1"/>
    <w:basedOn w:val="Normlnatabuka"/>
    <w:next w:val="Mriekatabuky"/>
    <w:uiPriority w:val="59"/>
    <w:rsid w:val="008D12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
    <w:name w:val="Char2"/>
    <w:basedOn w:val="Normlny"/>
    <w:link w:val="Odkaznapoznmkupodiarou"/>
    <w:uiPriority w:val="99"/>
    <w:rsid w:val="008D1234"/>
    <w:pPr>
      <w:spacing w:line="240" w:lineRule="exact"/>
    </w:pPr>
    <w:rPr>
      <w:rFonts w:cs="Times New Roman"/>
      <w:vertAlign w:val="superscript"/>
    </w:rPr>
  </w:style>
  <w:style w:type="table" w:styleId="Mriekatabuky">
    <w:name w:val="Table Grid"/>
    <w:basedOn w:val="Normlnatabuka"/>
    <w:uiPriority w:val="39"/>
    <w:rsid w:val="008D12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8219D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219DA"/>
    <w:rPr>
      <w:rFonts w:ascii="Segoe UI" w:hAnsi="Segoe UI" w:cs="Segoe UI"/>
      <w:sz w:val="18"/>
      <w:szCs w:val="18"/>
    </w:rPr>
  </w:style>
  <w:style w:type="character" w:styleId="Hypertextovprepojenie">
    <w:name w:val="Hyperlink"/>
    <w:basedOn w:val="Predvolenpsmoodseku"/>
    <w:uiPriority w:val="99"/>
    <w:unhideWhenUsed/>
    <w:rsid w:val="008219DA"/>
    <w:rPr>
      <w:color w:val="0563C1" w:themeColor="hyperlink"/>
      <w:u w:val="single"/>
    </w:rPr>
  </w:style>
  <w:style w:type="character" w:styleId="PouitHypertextovPrepojenie">
    <w:name w:val="FollowedHyperlink"/>
    <w:basedOn w:val="Predvolenpsmoodseku"/>
    <w:uiPriority w:val="99"/>
    <w:semiHidden/>
    <w:unhideWhenUsed/>
    <w:rsid w:val="008219DA"/>
    <w:rPr>
      <w:color w:val="954F72" w:themeColor="followedHyperlink"/>
      <w:u w:val="single"/>
    </w:rPr>
  </w:style>
  <w:style w:type="paragraph" w:styleId="Odsekzoznamu">
    <w:name w:val="List Paragraph"/>
    <w:basedOn w:val="Normlny"/>
    <w:uiPriority w:val="34"/>
    <w:qFormat/>
    <w:rsid w:val="00D274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p-kzp.sk/obsah-dokumenty/prirucka-k-opravnenosti-vydavk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77D17F9FBFB4B41B924073969D29DFF" ma:contentTypeVersion="0" ma:contentTypeDescription="Umožňuje vytvoriť nový dokument." ma:contentTypeScope="" ma:versionID="5c9ee6998369c7d47ced66eb32dc5058">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3EA56-F04C-4E3E-98C0-744D4CE12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A30C1E-2BDD-4B01-BA40-D702D83D171C}">
  <ds:schemaRefs>
    <ds:schemaRef ds:uri="http://schemas.microsoft.com/sharepoint/v3/contenttype/forms"/>
  </ds:schemaRefs>
</ds:datastoreItem>
</file>

<file path=customXml/itemProps3.xml><?xml version="1.0" encoding="utf-8"?>
<ds:datastoreItem xmlns:ds="http://schemas.openxmlformats.org/officeDocument/2006/customXml" ds:itemID="{FC6AD2DC-1BBD-42B7-87A8-F89C052F8F83}">
  <ds:schemaRefs>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purl.org/dc/dcmitype/"/>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56D2F5E-BF26-4563-8DCF-2AF1DEAFB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Pages>
  <Words>554</Words>
  <Characters>3159</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 SR</dc:creator>
  <cp:keywords/>
  <dc:description/>
  <cp:lastModifiedBy>A1</cp:lastModifiedBy>
  <cp:revision>8</cp:revision>
  <dcterms:created xsi:type="dcterms:W3CDTF">2017-07-17T06:08:00Z</dcterms:created>
  <dcterms:modified xsi:type="dcterms:W3CDTF">2017-09-13T11:03:00Z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0x010100C77D17F9FBFB4B41B924073969D29DFF</vt:lpwstr>
  </property>
</Properties>
</file>