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34EFD79B" w:rsidR="00FF5CFA" w:rsidRPr="00FF5CFA" w:rsidRDefault="00174F58" w:rsidP="00174F5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>
        <w:rPr>
          <w:rFonts w:asciiTheme="minorHAnsi" w:hAnsiTheme="minorHAnsi" w:cstheme="minorHAnsi"/>
          <w:b/>
          <w:szCs w:val="19"/>
        </w:rPr>
        <w:t>P</w:t>
      </w:r>
      <w:r w:rsidR="001776D3">
        <w:rPr>
          <w:rFonts w:asciiTheme="minorHAnsi" w:hAnsiTheme="minorHAnsi" w:cstheme="minorHAnsi"/>
          <w:b/>
          <w:szCs w:val="19"/>
        </w:rPr>
        <w:t>ríloha</w:t>
      </w:r>
      <w:proofErr w:type="spellEnd"/>
      <w:r w:rsidR="001776D3">
        <w:rPr>
          <w:rFonts w:asciiTheme="minorHAnsi" w:hAnsiTheme="minorHAnsi" w:cstheme="minorHAnsi"/>
          <w:b/>
          <w:szCs w:val="19"/>
        </w:rPr>
        <w:t xml:space="preserve"> č. </w:t>
      </w:r>
      <w:r w:rsidR="00057A35">
        <w:rPr>
          <w:rFonts w:asciiTheme="minorHAnsi" w:hAnsiTheme="minorHAnsi" w:cstheme="minorHAnsi"/>
          <w:b/>
          <w:szCs w:val="19"/>
        </w:rPr>
        <w:t>12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70579860" w:rsidR="00523A3D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2316E3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k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možným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porušeniam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zákona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ochrane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hospodárskej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súťaže</w:t>
      </w:r>
      <w:proofErr w:type="spellEnd"/>
      <w:r>
        <w:rPr>
          <w:rStyle w:val="Odkaznapoznmkupodiarou"/>
          <w:rFonts w:cstheme="minorHAnsi"/>
          <w:b/>
          <w:szCs w:val="19"/>
        </w:rPr>
        <w:footnoteReference w:id="2"/>
      </w:r>
    </w:p>
    <w:p w14:paraId="214A3BB4" w14:textId="77777777" w:rsidR="002316E3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789B451B" w14:textId="77777777" w:rsidR="002316E3" w:rsidRP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316E3">
        <w:rPr>
          <w:rFonts w:asciiTheme="minorHAnsi" w:hAnsiTheme="minorHAnsi" w:cstheme="minorHAnsi"/>
          <w:szCs w:val="19"/>
        </w:rPr>
        <w:t>Rizikové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indikátory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ktoré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sú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ďalej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uvedené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neznamenajú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316E3">
        <w:rPr>
          <w:rFonts w:asciiTheme="minorHAnsi" w:hAnsiTheme="minorHAnsi" w:cstheme="minorHAnsi"/>
          <w:szCs w:val="19"/>
        </w:rPr>
        <w:t>sami</w:t>
      </w:r>
      <w:proofErr w:type="spellEnd"/>
      <w:proofErr w:type="gram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szCs w:val="19"/>
        </w:rPr>
        <w:t>sebe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dôkaz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szCs w:val="19"/>
        </w:rPr>
        <w:t>porušení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hospodárskej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súťaže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alebo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porušenia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ZVO. </w:t>
      </w:r>
      <w:proofErr w:type="spellStart"/>
      <w:r w:rsidRPr="002316E3">
        <w:rPr>
          <w:rFonts w:asciiTheme="minorHAnsi" w:hAnsiTheme="minorHAnsi" w:cstheme="minorHAnsi"/>
          <w:szCs w:val="19"/>
        </w:rPr>
        <w:t>Sú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však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situáciami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ktoré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zvyšujú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pravdepodobnosť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2316E3">
        <w:rPr>
          <w:rFonts w:asciiTheme="minorHAnsi" w:hAnsiTheme="minorHAnsi" w:cstheme="minorHAnsi"/>
          <w:szCs w:val="19"/>
        </w:rPr>
        <w:t>rámci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daného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zadávania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zákazky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mohlo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dôjsť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2316E3">
        <w:rPr>
          <w:rFonts w:asciiTheme="minorHAnsi" w:hAnsiTheme="minorHAnsi" w:cstheme="minorHAnsi"/>
          <w:szCs w:val="19"/>
        </w:rPr>
        <w:t>protiprávnemu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konaniu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. </w:t>
      </w:r>
      <w:proofErr w:type="spellStart"/>
      <w:r w:rsidRPr="002316E3">
        <w:rPr>
          <w:rFonts w:asciiTheme="minorHAnsi" w:hAnsiTheme="minorHAnsi" w:cstheme="minorHAnsi"/>
          <w:szCs w:val="19"/>
        </w:rPr>
        <w:t>Pokiaľ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určitý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rizikový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indikátor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sám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proofErr w:type="gramStart"/>
      <w:r w:rsidRPr="002316E3">
        <w:rPr>
          <w:rFonts w:asciiTheme="minorHAnsi" w:hAnsiTheme="minorHAnsi" w:cstheme="minorHAnsi"/>
          <w:szCs w:val="19"/>
        </w:rPr>
        <w:t>sebe</w:t>
      </w:r>
      <w:proofErr w:type="spellEnd"/>
      <w:proofErr w:type="gram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znamená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porušenie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ZVO, </w:t>
      </w:r>
      <w:proofErr w:type="spellStart"/>
      <w:r w:rsidRPr="002316E3">
        <w:rPr>
          <w:rFonts w:asciiTheme="minorHAnsi" w:hAnsiTheme="minorHAnsi" w:cstheme="minorHAnsi"/>
          <w:szCs w:val="19"/>
        </w:rPr>
        <w:t>nepotvrdenie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skutočnosti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szCs w:val="19"/>
        </w:rPr>
        <w:t>porušení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hospodárskej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súťaže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nemá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vplyv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na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konštatovanie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szCs w:val="19"/>
        </w:rPr>
        <w:t>porušení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ZVO. </w:t>
      </w:r>
      <w:proofErr w:type="spellStart"/>
      <w:r w:rsidRPr="002316E3">
        <w:rPr>
          <w:rFonts w:asciiTheme="minorHAnsi" w:hAnsiTheme="minorHAnsi" w:cstheme="minorHAnsi"/>
          <w:szCs w:val="19"/>
        </w:rPr>
        <w:t>Tento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zoznam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nie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2316E3">
        <w:rPr>
          <w:rFonts w:asciiTheme="minorHAnsi" w:hAnsiTheme="minorHAnsi" w:cstheme="minorHAnsi"/>
          <w:szCs w:val="19"/>
        </w:rPr>
        <w:t>vyčerpávajúcim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súhrnom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všetkých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rizikových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situácií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. </w:t>
      </w:r>
    </w:p>
    <w:p w14:paraId="5C9C5A28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7B721BA" w14:textId="37F504EB" w:rsidR="002316E3" w:rsidRP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316E3">
        <w:rPr>
          <w:rFonts w:asciiTheme="minorHAnsi" w:hAnsiTheme="minorHAnsi" w:cstheme="minorHAnsi"/>
          <w:szCs w:val="19"/>
        </w:rPr>
        <w:t>Odporúčame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prijímateľovi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resp. </w:t>
      </w:r>
      <w:proofErr w:type="spellStart"/>
      <w:r w:rsidRPr="002316E3">
        <w:rPr>
          <w:rFonts w:asciiTheme="minorHAnsi" w:hAnsiTheme="minorHAnsi" w:cstheme="minorHAnsi"/>
          <w:szCs w:val="19"/>
        </w:rPr>
        <w:t>osobám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ktoré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poveril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výkonom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VO a </w:t>
      </w:r>
      <w:proofErr w:type="spellStart"/>
      <w:r w:rsidRPr="002316E3">
        <w:rPr>
          <w:rFonts w:asciiTheme="minorHAnsi" w:hAnsiTheme="minorHAnsi" w:cstheme="minorHAnsi"/>
          <w:szCs w:val="19"/>
        </w:rPr>
        <w:t>tiež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členom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komisie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oboznámiť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316E3">
        <w:rPr>
          <w:rFonts w:asciiTheme="minorHAnsi" w:hAnsiTheme="minorHAnsi" w:cstheme="minorHAnsi"/>
          <w:szCs w:val="19"/>
        </w:rPr>
        <w:t>sa</w:t>
      </w:r>
      <w:proofErr w:type="spellEnd"/>
      <w:proofErr w:type="gramEnd"/>
      <w:r w:rsidRPr="002316E3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2316E3">
        <w:rPr>
          <w:rFonts w:asciiTheme="minorHAnsi" w:hAnsiTheme="minorHAnsi" w:cstheme="minorHAnsi"/>
          <w:szCs w:val="19"/>
        </w:rPr>
        <w:t>rizikovými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indikátormi</w:t>
      </w:r>
      <w:proofErr w:type="spellEnd"/>
      <w:r w:rsidR="00915E34">
        <w:rPr>
          <w:rFonts w:asciiTheme="minorHAnsi" w:hAnsiTheme="minorHAnsi" w:cstheme="minorHAnsi"/>
          <w:szCs w:val="19"/>
        </w:rPr>
        <w:t>,</w:t>
      </w:r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915E34" w:rsidRPr="00915E34">
        <w:rPr>
          <w:rFonts w:asciiTheme="minorHAnsi" w:hAnsiTheme="minorHAnsi" w:cstheme="minorHAnsi"/>
          <w:bCs/>
          <w:szCs w:val="19"/>
        </w:rPr>
        <w:t>t.j.</w:t>
      </w:r>
      <w:proofErr w:type="spellEnd"/>
      <w:r w:rsidR="00915E34" w:rsidRPr="00915E34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="00915E34" w:rsidRPr="00915E34">
        <w:rPr>
          <w:rFonts w:asciiTheme="minorHAnsi" w:hAnsiTheme="minorHAnsi" w:cstheme="minorHAnsi"/>
          <w:bCs/>
          <w:szCs w:val="19"/>
        </w:rPr>
        <w:t>zaoberať</w:t>
      </w:r>
      <w:proofErr w:type="spellEnd"/>
      <w:r w:rsidR="00915E34" w:rsidRPr="00915E34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="00915E34" w:rsidRPr="00915E34">
        <w:rPr>
          <w:rFonts w:asciiTheme="minorHAnsi" w:hAnsiTheme="minorHAnsi" w:cstheme="minorHAnsi"/>
          <w:bCs/>
          <w:szCs w:val="19"/>
        </w:rPr>
        <w:t>sa</w:t>
      </w:r>
      <w:proofErr w:type="spellEnd"/>
      <w:r w:rsidR="00915E34" w:rsidRPr="00915E34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="00915E34" w:rsidRPr="00915E34">
        <w:rPr>
          <w:rFonts w:asciiTheme="minorHAnsi" w:hAnsiTheme="minorHAnsi" w:cstheme="minorHAnsi"/>
          <w:bCs/>
          <w:szCs w:val="19"/>
        </w:rPr>
        <w:t>nimi</w:t>
      </w:r>
      <w:proofErr w:type="spellEnd"/>
      <w:r w:rsidR="00915E34" w:rsidRPr="00915E34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="00915E34" w:rsidRPr="00915E34">
        <w:rPr>
          <w:rFonts w:asciiTheme="minorHAnsi" w:hAnsiTheme="minorHAnsi" w:cstheme="minorHAnsi"/>
          <w:bCs/>
          <w:szCs w:val="19"/>
        </w:rPr>
        <w:t>pri</w:t>
      </w:r>
      <w:proofErr w:type="spellEnd"/>
      <w:r w:rsidR="00915E34" w:rsidRPr="00915E34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="00915E34" w:rsidRPr="00915E34">
        <w:rPr>
          <w:rFonts w:asciiTheme="minorHAnsi" w:hAnsiTheme="minorHAnsi" w:cstheme="minorHAnsi"/>
          <w:bCs/>
          <w:szCs w:val="19"/>
        </w:rPr>
        <w:t>výkone</w:t>
      </w:r>
      <w:proofErr w:type="spellEnd"/>
      <w:r w:rsidR="00915E34" w:rsidRPr="00915E34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="00915E34" w:rsidRPr="00915E34">
        <w:rPr>
          <w:rFonts w:asciiTheme="minorHAnsi" w:hAnsiTheme="minorHAnsi" w:cstheme="minorHAnsi"/>
          <w:bCs/>
          <w:szCs w:val="19"/>
        </w:rPr>
        <w:t>ďalších</w:t>
      </w:r>
      <w:proofErr w:type="spellEnd"/>
      <w:r w:rsidR="00915E34" w:rsidRPr="00915E34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="00915E34" w:rsidRPr="00915E34">
        <w:rPr>
          <w:rFonts w:asciiTheme="minorHAnsi" w:hAnsiTheme="minorHAnsi" w:cstheme="minorHAnsi"/>
          <w:bCs/>
          <w:szCs w:val="19"/>
        </w:rPr>
        <w:t>úkonov</w:t>
      </w:r>
      <w:proofErr w:type="spellEnd"/>
      <w:r w:rsidR="00915E34" w:rsidRPr="00915E34">
        <w:rPr>
          <w:rFonts w:asciiTheme="minorHAnsi" w:hAnsiTheme="minorHAnsi" w:cstheme="minorHAnsi"/>
          <w:bCs/>
          <w:szCs w:val="19"/>
        </w:rPr>
        <w:t xml:space="preserve"> </w:t>
      </w:r>
      <w:r w:rsidRPr="002316E3">
        <w:rPr>
          <w:rFonts w:asciiTheme="minorHAnsi" w:hAnsiTheme="minorHAnsi" w:cstheme="minorHAnsi"/>
          <w:szCs w:val="19"/>
        </w:rPr>
        <w:t xml:space="preserve">s </w:t>
      </w:r>
      <w:proofErr w:type="spellStart"/>
      <w:r w:rsidRPr="002316E3">
        <w:rPr>
          <w:rFonts w:asciiTheme="minorHAnsi" w:hAnsiTheme="minorHAnsi" w:cstheme="minorHAnsi"/>
          <w:szCs w:val="19"/>
        </w:rPr>
        <w:t>ohľadom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na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dostatočné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využitie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tejto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vedomosti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. </w:t>
      </w:r>
    </w:p>
    <w:p w14:paraId="753B9515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7E11C04" w14:textId="4795E5C4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316E3">
        <w:rPr>
          <w:rFonts w:asciiTheme="minorHAnsi" w:hAnsiTheme="minorHAnsi" w:cstheme="minorHAnsi"/>
          <w:szCs w:val="19"/>
        </w:rPr>
        <w:t>Upozorňujeme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prijímateľa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potvrdenie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porušenia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zákona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szCs w:val="19"/>
        </w:rPr>
        <w:t>ochrane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hospodárskej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súťaže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môže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predstavovať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prekážku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2316E3">
        <w:rPr>
          <w:rFonts w:asciiTheme="minorHAnsi" w:hAnsiTheme="minorHAnsi" w:cstheme="minorHAnsi"/>
          <w:szCs w:val="19"/>
        </w:rPr>
        <w:t>ďalšom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spolufinancovaní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predmetného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verejného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obstarávania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strany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poskytovateľa</w:t>
      </w:r>
      <w:proofErr w:type="spellEnd"/>
      <w:r w:rsidRPr="002316E3">
        <w:rPr>
          <w:rFonts w:asciiTheme="minorHAnsi" w:hAnsiTheme="minorHAnsi" w:cstheme="minorHAnsi"/>
          <w:szCs w:val="19"/>
        </w:rPr>
        <w:t>.</w:t>
      </w:r>
    </w:p>
    <w:p w14:paraId="09D33DB2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7F27AE8" w14:textId="1430DAD0" w:rsidR="002316E3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Zoznam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rizikových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indikátorov</w:t>
      </w:r>
      <w:proofErr w:type="spellEnd"/>
      <w:r>
        <w:rPr>
          <w:rFonts w:asciiTheme="minorHAnsi" w:hAnsiTheme="minorHAnsi" w:cstheme="minorHAnsi"/>
          <w:szCs w:val="19"/>
        </w:rPr>
        <w:t>:</w:t>
      </w:r>
    </w:p>
    <w:p w14:paraId="1EAAA962" w14:textId="77777777" w:rsidR="0013284C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Deloittetable1"/>
        <w:tblW w:w="0" w:type="auto"/>
        <w:tblBorders>
          <w:left w:val="single" w:sz="4" w:space="0" w:color="92D400"/>
          <w:right w:val="single" w:sz="4" w:space="0" w:color="92D400"/>
          <w:insideV w:val="single" w:sz="4" w:space="0" w:color="92D400"/>
        </w:tblBorders>
        <w:tblLook w:val="04A0" w:firstRow="1" w:lastRow="0" w:firstColumn="1" w:lastColumn="0" w:noHBand="0" w:noVBand="1"/>
      </w:tblPr>
      <w:tblGrid>
        <w:gridCol w:w="453"/>
        <w:gridCol w:w="4360"/>
        <w:gridCol w:w="4247"/>
      </w:tblGrid>
      <w:tr w:rsidR="0013284C" w14:paraId="6FEC8631" w14:textId="77777777" w:rsidTr="00132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270ABE72" w14:textId="4906C040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P.č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4394" w:type="dxa"/>
            <w:vAlign w:val="center"/>
          </w:tcPr>
          <w:p w14:paraId="6238E07F" w14:textId="2DD3DAF1" w:rsidR="0013284C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Názov</w:t>
            </w:r>
            <w:proofErr w:type="spellEnd"/>
            <w:r w:rsidRPr="0013284C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rizikového</w:t>
            </w:r>
            <w:proofErr w:type="spellEnd"/>
            <w:r w:rsidRPr="0013284C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indikátora</w:t>
            </w:r>
            <w:proofErr w:type="spellEnd"/>
          </w:p>
        </w:tc>
        <w:tc>
          <w:tcPr>
            <w:tcW w:w="4278" w:type="dxa"/>
            <w:vAlign w:val="center"/>
          </w:tcPr>
          <w:p w14:paraId="3B09541C" w14:textId="7743A97B" w:rsidR="0013284C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Popis</w:t>
            </w:r>
            <w:proofErr w:type="spellEnd"/>
            <w:r w:rsidRPr="0013284C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rizikového</w:t>
            </w:r>
            <w:proofErr w:type="spellEnd"/>
            <w:r w:rsidRPr="0013284C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indikátora</w:t>
            </w:r>
            <w:proofErr w:type="spellEnd"/>
          </w:p>
        </w:tc>
      </w:tr>
      <w:tr w:rsidR="0013284C" w14:paraId="023F4ADA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5FE505B4" w14:textId="1BB242BC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394" w:type="dxa"/>
            <w:vAlign w:val="center"/>
          </w:tcPr>
          <w:p w14:paraId="7018A6A0" w14:textId="3B91425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Rotácia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podľa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regiónu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typu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služby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tovaru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práce</w:t>
            </w:r>
            <w:proofErr w:type="spellEnd"/>
          </w:p>
        </w:tc>
        <w:tc>
          <w:tcPr>
            <w:tcW w:w="4278" w:type="dxa"/>
            <w:vAlign w:val="center"/>
          </w:tcPr>
          <w:p w14:paraId="7CBD38F7" w14:textId="0FC4E7B6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skupiny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podávajúcich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zloženie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viacerých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súťažiach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takmer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ako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vyhodnotený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vždy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pričom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úspešnosť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možné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odvodiť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od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záujmu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realizovať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zákazku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určitom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regióne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rámci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určitého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typu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služby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tovaru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práce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a pod.</w:t>
            </w:r>
          </w:p>
        </w:tc>
      </w:tr>
      <w:tr w:rsidR="0013284C" w14:paraId="70EA7E2F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51274F0E" w14:textId="20B6F9EB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394" w:type="dxa"/>
            <w:vAlign w:val="center"/>
          </w:tcPr>
          <w:p w14:paraId="6C10BF53" w14:textId="5958DBD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Neúspešný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zazmluvnený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úspešným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ako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subdodávateľ</w:t>
            </w:r>
            <w:proofErr w:type="spellEnd"/>
          </w:p>
        </w:tc>
        <w:tc>
          <w:tcPr>
            <w:tcW w:w="4278" w:type="dxa"/>
            <w:vAlign w:val="center"/>
          </w:tcPr>
          <w:p w14:paraId="5988D1EE" w14:textId="5AA63DF9" w:rsidR="0013284C" w:rsidRPr="0013284C" w:rsidRDefault="0013284C" w:rsidP="00A43F5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kontrole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="00A43F56">
              <w:rPr>
                <w:rFonts w:asciiTheme="minorHAnsi" w:hAnsiTheme="minorHAnsi" w:cstheme="minorHAnsi"/>
                <w:i/>
                <w:szCs w:val="19"/>
              </w:rPr>
              <w:t>poskytovateľ</w:t>
            </w:r>
            <w:proofErr w:type="spellEnd"/>
            <w:r w:rsidR="00A43F56"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zistí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skutočnosť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s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bol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vyhodnotený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ako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neúspešný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uzavrel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rámci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plnenia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predmetnej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zákazky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dodávateľskú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zmluvu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A43F56" w14:paraId="67895735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71066DA6" w14:textId="4F53DCCC" w:rsidR="00A43F56" w:rsidRDefault="00A43F56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394" w:type="dxa"/>
            <w:vAlign w:val="center"/>
          </w:tcPr>
          <w:p w14:paraId="1EA95FE2" w14:textId="1182A95D" w:rsidR="00A43F56" w:rsidRPr="0013284C" w:rsidRDefault="00A43F56" w:rsidP="00A43F5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Uchádzači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využívajú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preukazovaní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podmienok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účasti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finančné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zdroje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a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odborné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kapacity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tých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istých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tretích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osôb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, resp.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ako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subdodávatelia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identifikované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tie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isté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subjekty</w:t>
            </w:r>
            <w:proofErr w:type="spellEnd"/>
          </w:p>
        </w:tc>
        <w:tc>
          <w:tcPr>
            <w:tcW w:w="4278" w:type="dxa"/>
            <w:vAlign w:val="center"/>
          </w:tcPr>
          <w:p w14:paraId="227D5509" w14:textId="0D625C7C" w:rsidR="00A43F56" w:rsidRPr="00A43F56" w:rsidRDefault="00A43F56" w:rsidP="00A43F5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Pre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preukazovanie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splnenia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podmienok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účasti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podľa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§ 33 a § 34 ZVO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využívajú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uchádzači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kapacity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iných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osôb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(„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tretích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strán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“)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pričom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tieto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iné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osoby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pri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viacerých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</w:p>
          <w:p w14:paraId="62D02E33" w14:textId="728633C0" w:rsidR="00A43F56" w:rsidRPr="0013284C" w:rsidRDefault="00A43F56" w:rsidP="00A43F5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Viacerí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uchádzači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majú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rámci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svojich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identifikovaných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rovnakých</w:t>
            </w:r>
            <w:proofErr w:type="spellEnd"/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A43F56">
              <w:rPr>
                <w:rFonts w:asciiTheme="minorHAnsi" w:hAnsiTheme="minorHAnsi" w:cstheme="minorHAnsi"/>
                <w:i/>
                <w:szCs w:val="19"/>
              </w:rPr>
              <w:t>subdodávateľov</w:t>
            </w:r>
            <w:proofErr w:type="spellEnd"/>
            <w:r w:rsidR="006D6012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13284C" w14:paraId="7C1130AD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F7D266" w14:textId="36A46F52" w:rsidR="0013284C" w:rsidRDefault="00A43F56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4</w:t>
            </w:r>
            <w:r w:rsidR="0013284C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4394" w:type="dxa"/>
            <w:vAlign w:val="center"/>
          </w:tcPr>
          <w:p w14:paraId="344F80AD" w14:textId="753DCB4E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Medzi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uchádzačmi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majetkové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osobné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prepojenie</w:t>
            </w:r>
            <w:proofErr w:type="spellEnd"/>
          </w:p>
        </w:tc>
        <w:tc>
          <w:tcPr>
            <w:tcW w:w="4278" w:type="dxa"/>
            <w:vAlign w:val="center"/>
          </w:tcPr>
          <w:p w14:paraId="69083CCB" w14:textId="3514A741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Medzi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úspešným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a</w:t>
            </w:r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iným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majetkové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osobné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prepojenie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r w:rsidR="006D6012">
              <w:rPr>
                <w:rFonts w:asciiTheme="minorHAnsi" w:hAnsiTheme="minorHAnsi" w:cstheme="minorHAnsi"/>
                <w:i/>
                <w:szCs w:val="19"/>
              </w:rPr>
              <w:t>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štatutár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a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štatutár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neúspešného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spoločne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štatutármi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subjekte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r w:rsidR="006D6012">
              <w:rPr>
                <w:rFonts w:asciiTheme="minorHAnsi" w:hAnsiTheme="minorHAnsi" w:cstheme="minorHAnsi"/>
                <w:i/>
                <w:szCs w:val="19"/>
              </w:rPr>
              <w:t>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mohol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nemusel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predložiť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ponuku</w:t>
            </w:r>
            <w:proofErr w:type="spellEnd"/>
            <w:r w:rsidR="006D6012">
              <w:rPr>
                <w:rFonts w:asciiTheme="minorHAnsi" w:hAnsiTheme="minorHAnsi" w:cstheme="minorHAnsi"/>
                <w:i/>
                <w:szCs w:val="19"/>
              </w:rPr>
              <w:t>))</w:t>
            </w:r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6D6012" w14:paraId="69FDE60E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103383B4" w14:textId="4C6F8A4A" w:rsidR="006D6012" w:rsidDel="00A43F56" w:rsidRDefault="006D6012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4394" w:type="dxa"/>
            <w:vAlign w:val="center"/>
          </w:tcPr>
          <w:p w14:paraId="23504810" w14:textId="461A2EB2" w:rsidR="006D6012" w:rsidRPr="0013284C" w:rsidRDefault="006D6012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Niektorí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uchádzači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predkladajú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opätovne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svoju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ponuku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avšak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nikdy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nie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úspešní</w:t>
            </w:r>
            <w:proofErr w:type="spellEnd"/>
          </w:p>
        </w:tc>
        <w:tc>
          <w:tcPr>
            <w:tcW w:w="4278" w:type="dxa"/>
            <w:vAlign w:val="center"/>
          </w:tcPr>
          <w:p w14:paraId="59E96614" w14:textId="45B85D2B" w:rsidR="006D6012" w:rsidRPr="0013284C" w:rsidRDefault="006D6012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Vo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viacerých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súťažiach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možné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identifikovať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rovnakého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ktorý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sa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súťaží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vždy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zúčastňuje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, ale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nikdy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nie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úspešný</w:t>
            </w:r>
            <w:proofErr w:type="spellEnd"/>
            <w:r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6D6012" w14:paraId="6BAF0747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0482BB46" w14:textId="34B71179" w:rsidR="006D6012" w:rsidRDefault="006D6012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6.</w:t>
            </w:r>
          </w:p>
        </w:tc>
        <w:tc>
          <w:tcPr>
            <w:tcW w:w="4394" w:type="dxa"/>
            <w:vAlign w:val="center"/>
          </w:tcPr>
          <w:p w14:paraId="26571C50" w14:textId="668B960D" w:rsidR="006D6012" w:rsidRPr="006D6012" w:rsidRDefault="006D6012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Dvaja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viacerí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uchádzači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predkladajú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spoločnú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ponuku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ako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skupina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dodávateľov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),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avšak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aspoň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jeden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nich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dostatočne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kvalifikovaný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aby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mohol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podať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ponuku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sám</w:t>
            </w:r>
            <w:proofErr w:type="spellEnd"/>
          </w:p>
        </w:tc>
        <w:tc>
          <w:tcPr>
            <w:tcW w:w="4278" w:type="dxa"/>
            <w:vAlign w:val="center"/>
          </w:tcPr>
          <w:p w14:paraId="76E5DF28" w14:textId="66D547AE" w:rsidR="006D6012" w:rsidRPr="006D6012" w:rsidRDefault="006D6012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V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súťaži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identifikovaný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dodávateľ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, o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ktorom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všeobecne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známe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že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kvalifikovaný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podať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ponuku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aj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bez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vytvorenia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skupiny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dodávateľov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napriek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tomu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sa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súťaže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zúčastňuje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rámci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spoločnej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dvoch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viacerých</w:t>
            </w:r>
            <w:proofErr w:type="spellEnd"/>
            <w:r w:rsidRPr="006D6012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6D6012">
              <w:rPr>
                <w:rFonts w:asciiTheme="minorHAnsi" w:hAnsiTheme="minorHAnsi" w:cstheme="minorHAnsi"/>
                <w:i/>
                <w:szCs w:val="19"/>
              </w:rPr>
              <w:t>dodávateľov</w:t>
            </w:r>
            <w:proofErr w:type="spellEnd"/>
          </w:p>
        </w:tc>
      </w:tr>
      <w:tr w:rsidR="0013284C" w14:paraId="031A9030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3A85637F" w14:textId="5D4F6BE9" w:rsidR="0013284C" w:rsidRDefault="006D6012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lastRenderedPageBreak/>
              <w:t>7</w:t>
            </w:r>
            <w:r w:rsidR="0013284C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4394" w:type="dxa"/>
            <w:vAlign w:val="center"/>
          </w:tcPr>
          <w:p w14:paraId="2A46C259" w14:textId="6647F0A6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tieňovej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(„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krycej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“)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</w:p>
        </w:tc>
        <w:tc>
          <w:tcPr>
            <w:tcW w:w="4278" w:type="dxa"/>
            <w:vAlign w:val="center"/>
          </w:tcPr>
          <w:p w14:paraId="779AA78C" w14:textId="6CC38C15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predložili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zjavne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kvalifikovaní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resp.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nespĺňa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základné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požiadavky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určené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verejným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obstarávateľom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13284C" w14:paraId="232F7284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2D1A2B53" w14:textId="4AEBC2A7" w:rsidR="0013284C" w:rsidRDefault="006D6012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8</w:t>
            </w:r>
            <w:r w:rsidR="0013284C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4394" w:type="dxa"/>
            <w:vAlign w:val="center"/>
          </w:tcPr>
          <w:p w14:paraId="5FFCD73C" w14:textId="31DB244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Nízky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počet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/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žiadostí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účasť</w:t>
            </w:r>
            <w:proofErr w:type="spellEnd"/>
          </w:p>
        </w:tc>
        <w:tc>
          <w:tcPr>
            <w:tcW w:w="4278" w:type="dxa"/>
            <w:vAlign w:val="center"/>
          </w:tcPr>
          <w:p w14:paraId="01D9FF9A" w14:textId="0706C3C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rámci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bol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predložený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nízky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počet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žiadostí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účasť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(1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až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2).</w:t>
            </w:r>
          </w:p>
        </w:tc>
      </w:tr>
      <w:tr w:rsidR="0013284C" w14:paraId="1BA77D3B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48F4F0" w14:textId="519767EB" w:rsidR="0013284C" w:rsidRDefault="006D6012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9</w:t>
            </w:r>
            <w:r w:rsidR="0013284C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4394" w:type="dxa"/>
            <w:vAlign w:val="center"/>
          </w:tcPr>
          <w:p w14:paraId="7FE99ADD" w14:textId="0942F765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Podozrivé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schémy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stanovovaní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cien</w:t>
            </w:r>
            <w:proofErr w:type="spellEnd"/>
          </w:p>
        </w:tc>
        <w:tc>
          <w:tcPr>
            <w:tcW w:w="4278" w:type="dxa"/>
            <w:vAlign w:val="center"/>
          </w:tcPr>
          <w:p w14:paraId="1465DDDE" w14:textId="0CA0777F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ceny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predložené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uchádzačmi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oproti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zvyšujú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pravidelný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%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prírastok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,</w:t>
            </w:r>
          </w:p>
          <w:p w14:paraId="3DE8D093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22FD4493" w14:textId="318E5F3F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stanovenie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ceny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viacerých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použité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kalkulácie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564A1192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93C7458" w14:textId="321477F0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hodnoty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všetkých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predložených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porovnaní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s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predpokladanou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hodnotou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zákazky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buď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nad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touto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hodnotou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tesne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pod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ňou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7480129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F4855F8" w14:textId="387A87C0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výsledná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suma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víťaznej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neprimerane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vysoká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vzhľadom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sumy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vie </w:t>
            </w:r>
            <w:proofErr w:type="spellStart"/>
            <w:r w:rsidR="006D6012">
              <w:rPr>
                <w:rFonts w:asciiTheme="minorHAnsi" w:hAnsiTheme="minorHAnsi" w:cstheme="minorHAnsi"/>
                <w:i/>
                <w:szCs w:val="19"/>
              </w:rPr>
              <w:t>poskytovateľ</w:t>
            </w:r>
            <w:proofErr w:type="spellEnd"/>
            <w:r w:rsidR="006D6012"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porovnať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verejne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dostupných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zdrojov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vlastných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databáz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a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zdrojov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informácií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hodnotách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podobných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tovarov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prác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a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služieb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75BB3688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2516EA8E" w14:textId="2365069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v</w:t>
            </w:r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možné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pozorovať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náhly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pokles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ponukových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cien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vstupe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do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predošlých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podobných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súťažiach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nepredkladal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  <w:p w14:paraId="68769D6A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3FE6FDE8" w14:textId="3CA386C9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prípade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vedia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ponukách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predchádzajúce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verejné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obstarávanie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bolo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zrušené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otvorení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)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neúspešní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zvýšia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ceny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cena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u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väčšiny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zostane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rovnaká</w:t>
            </w:r>
            <w:proofErr w:type="spellEnd"/>
          </w:p>
        </w:tc>
      </w:tr>
      <w:tr w:rsidR="0013284C" w14:paraId="0BE80B4D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037C1302" w14:textId="4FB6A15F" w:rsidR="0013284C" w:rsidRDefault="006D6012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10</w:t>
            </w:r>
            <w:r w:rsidR="0013284C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4394" w:type="dxa"/>
            <w:vAlign w:val="center"/>
          </w:tcPr>
          <w:p w14:paraId="49F1EDA5" w14:textId="573440C1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Podozrivé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indície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dokumentácii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verejného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obstarávania</w:t>
            </w:r>
            <w:proofErr w:type="spellEnd"/>
          </w:p>
        </w:tc>
        <w:tc>
          <w:tcPr>
            <w:tcW w:w="4278" w:type="dxa"/>
            <w:vAlign w:val="center"/>
          </w:tcPr>
          <w:p w14:paraId="32B84F2F" w14:textId="22E43FDC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obsahujú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rukopis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druh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písma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formu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boli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použité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kancelárske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potreby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podpísané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rovnakým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atramentom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kancelárskom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papieri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), </w:t>
            </w:r>
          </w:p>
          <w:p w14:paraId="29729392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3C29F54" w14:textId="2E4D5196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chyby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jednotlivých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dokumentoch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pravopisné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chyby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tlačiarenské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chyby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šmuhy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od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tlačiarne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),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matematické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chyby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zlé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výpočty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),</w:t>
            </w:r>
          </w:p>
          <w:p w14:paraId="673FA66E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3C6750E0" w14:textId="5E80F1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zhodné</w:t>
            </w:r>
            <w:proofErr w:type="spellEnd"/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nepravidelnosti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zoradenie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do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s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prehodenými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stranami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chybné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číslovanie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strán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13BC52A0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29688C6" w14:textId="0358C4FD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elektronickej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forme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ukazujú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vytvorila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upravovala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osoba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7F89D175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40A073F" w14:textId="3B5BDA9C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obálky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od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rôznych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majú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podobné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poštové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pečiatky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zasielané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pošty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majú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frankovacie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značky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a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známky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podacích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lístkoch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rukopis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čísla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kolkov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rôznych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ponukách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seba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nadväzujú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</w:p>
          <w:p w14:paraId="4DDE56C8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FC4C444" w14:textId="77D1D75A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niekoľko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akýchkoľvek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žiadosti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vysvetlenie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podkladov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)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posielaných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emailovej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adresy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faxového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čísla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naraz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prostredníctvom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kuriéra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483FA1A3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AAA5060" w14:textId="03B00759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lastRenderedPageBreak/>
              <w:t>dokumenty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cenových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ponukách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obsahujú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veľký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počet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opráv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poslednú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chvíľu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ako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gumovanie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škrtanie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fyzické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zmeny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131689A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02DA4D64" w14:textId="49122D6E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obsahujú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jednoznačný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odkaz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ostatných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konkurentov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hlavičke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vyskytuje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faxové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číslo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využívajú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hlavičkový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papier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konkurenta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5965BAB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136BC70" w14:textId="41169DD8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viacerých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obsahujú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podstatný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počet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odhadov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nákladov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jednotlivé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položky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</w:tbl>
    <w:p w14:paraId="3147189B" w14:textId="77777777" w:rsidR="0013284C" w:rsidRPr="002316E3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sectPr w:rsidR="0013284C" w:rsidRPr="002316E3" w:rsidSect="00F76787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B03909" w14:textId="77777777" w:rsidR="00EF56B5" w:rsidRDefault="00EF56B5">
      <w:r>
        <w:separator/>
      </w:r>
    </w:p>
    <w:p w14:paraId="0188CF03" w14:textId="77777777" w:rsidR="00EF56B5" w:rsidRDefault="00EF56B5"/>
  </w:endnote>
  <w:endnote w:type="continuationSeparator" w:id="0">
    <w:p w14:paraId="086EE57E" w14:textId="77777777" w:rsidR="00EF56B5" w:rsidRDefault="00EF56B5">
      <w:r>
        <w:continuationSeparator/>
      </w:r>
    </w:p>
    <w:p w14:paraId="2166BBC3" w14:textId="77777777" w:rsidR="00EF56B5" w:rsidRDefault="00EF56B5"/>
  </w:endnote>
  <w:endnote w:type="continuationNotice" w:id="1">
    <w:p w14:paraId="4B218C6E" w14:textId="77777777" w:rsidR="00EF56B5" w:rsidRDefault="00EF56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101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CDDEB2" w14:textId="77777777" w:rsidR="00EF56B5" w:rsidRDefault="00EF56B5">
      <w:r>
        <w:separator/>
      </w:r>
    </w:p>
    <w:p w14:paraId="71E50A68" w14:textId="77777777" w:rsidR="00EF56B5" w:rsidRDefault="00EF56B5"/>
  </w:footnote>
  <w:footnote w:type="continuationSeparator" w:id="0">
    <w:p w14:paraId="2EB886FC" w14:textId="77777777" w:rsidR="00EF56B5" w:rsidRDefault="00EF56B5">
      <w:r>
        <w:continuationSeparator/>
      </w:r>
    </w:p>
    <w:p w14:paraId="781F35CE" w14:textId="77777777" w:rsidR="00EF56B5" w:rsidRDefault="00EF56B5"/>
  </w:footnote>
  <w:footnote w:type="continuationNotice" w:id="1">
    <w:p w14:paraId="5FB4B43E" w14:textId="77777777" w:rsidR="00EF56B5" w:rsidRDefault="00EF56B5"/>
  </w:footnote>
  <w:footnote w:id="2">
    <w:p w14:paraId="6B7D984D" w14:textId="07EE1328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gramStart"/>
      <w:r w:rsidRPr="002316E3">
        <w:rPr>
          <w:sz w:val="14"/>
        </w:rPr>
        <w:t>z</w:t>
      </w:r>
      <w:proofErr w:type="gram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pohľadu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možného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porušenia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podľa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zákona</w:t>
      </w:r>
      <w:proofErr w:type="spellEnd"/>
      <w:r w:rsidRPr="002316E3">
        <w:rPr>
          <w:sz w:val="14"/>
        </w:rPr>
        <w:t xml:space="preserve"> č. 136/2001 </w:t>
      </w:r>
      <w:proofErr w:type="spellStart"/>
      <w:r w:rsidRPr="002316E3">
        <w:rPr>
          <w:sz w:val="14"/>
        </w:rPr>
        <w:t>Z.z</w:t>
      </w:r>
      <w:proofErr w:type="spellEnd"/>
      <w:r w:rsidRPr="002316E3">
        <w:rPr>
          <w:sz w:val="14"/>
        </w:rPr>
        <w:t xml:space="preserve">. o </w:t>
      </w:r>
      <w:proofErr w:type="spellStart"/>
      <w:r w:rsidRPr="002316E3">
        <w:rPr>
          <w:sz w:val="14"/>
        </w:rPr>
        <w:t>ochrane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 xml:space="preserve"> - </w:t>
      </w:r>
      <w:proofErr w:type="spellStart"/>
      <w:r w:rsidRPr="002316E3">
        <w:rPr>
          <w:sz w:val="14"/>
        </w:rPr>
        <w:t>konkrétne</w:t>
      </w:r>
      <w:proofErr w:type="spellEnd"/>
      <w:r w:rsidRPr="002316E3">
        <w:rPr>
          <w:sz w:val="14"/>
        </w:rPr>
        <w:t xml:space="preserve">  </w:t>
      </w:r>
      <w:proofErr w:type="spellStart"/>
      <w:r w:rsidRPr="002316E3">
        <w:rPr>
          <w:sz w:val="14"/>
        </w:rPr>
        <w:t>dohôd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obmedzujúcich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podľa</w:t>
      </w:r>
      <w:proofErr w:type="spellEnd"/>
      <w:r w:rsidRPr="002316E3">
        <w:rPr>
          <w:sz w:val="14"/>
        </w:rPr>
        <w:t xml:space="preserve"> §4 </w:t>
      </w:r>
      <w:proofErr w:type="spellStart"/>
      <w:r w:rsidRPr="002316E3">
        <w:rPr>
          <w:sz w:val="14"/>
        </w:rPr>
        <w:t>zákona</w:t>
      </w:r>
      <w:proofErr w:type="spellEnd"/>
      <w:r w:rsidRPr="002316E3">
        <w:rPr>
          <w:sz w:val="14"/>
        </w:rPr>
        <w:t xml:space="preserve"> o </w:t>
      </w:r>
      <w:proofErr w:type="spellStart"/>
      <w:r w:rsidRPr="002316E3">
        <w:rPr>
          <w:sz w:val="14"/>
        </w:rPr>
        <w:t>ochrane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0315000C" w:rsidR="006D04C5" w:rsidRPr="00624DC2" w:rsidRDefault="00FE0C70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val="sk-SK" w:eastAsia="sk-SK"/>
      </w:rPr>
      <w:drawing>
        <wp:inline distT="0" distB="0" distL="0" distR="0" wp14:anchorId="57AF7F76" wp14:editId="36588A16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011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127F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17882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012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0AC5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828"/>
    <w:rsid w:val="00824D70"/>
    <w:rsid w:val="00824F73"/>
    <w:rsid w:val="00832DC0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39FC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5E34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56E6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F56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66850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6B5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0C70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  <w15:docId w15:val="{8852103B-7FEC-4E9C-9D67-D444FE41D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CBF6F6-BAE7-498A-B34D-BB8175CBF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784</Words>
  <Characters>5018</Characters>
  <Application>Microsoft Office Word</Application>
  <DocSecurity>0</DocSecurity>
  <Lines>41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metodika.adapt@minv.sk</dc:creator>
  <cp:lastModifiedBy>Andrea Bergmannová</cp:lastModifiedBy>
  <cp:revision>5</cp:revision>
  <cp:lastPrinted>2006-02-10T13:19:00Z</cp:lastPrinted>
  <dcterms:created xsi:type="dcterms:W3CDTF">2017-05-19T12:06:00Z</dcterms:created>
  <dcterms:modified xsi:type="dcterms:W3CDTF">2017-05-24T13:37:00Z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