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52A70" w14:textId="77777777" w:rsidR="002E2D9B" w:rsidRDefault="008424AF">
      <w:r>
        <w:t xml:space="preserve"> </w:t>
      </w:r>
      <w:r w:rsidR="00AD61A5">
        <w:rPr>
          <w:noProof/>
          <w:lang w:eastAsia="sk-SK"/>
        </w:rPr>
        <w:drawing>
          <wp:inline distT="0" distB="0" distL="0" distR="0" wp14:anchorId="19152ABC" wp14:editId="19152ABD">
            <wp:extent cx="5852795" cy="69469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152A71" w14:textId="77777777" w:rsidR="00DC7648" w:rsidRDefault="00AD61A5" w:rsidP="00AD61A5">
      <w:pPr>
        <w:jc w:val="center"/>
      </w:pPr>
      <w:r>
        <w:rPr>
          <w:noProof/>
          <w:lang w:eastAsia="sk-SK"/>
        </w:rPr>
        <w:drawing>
          <wp:inline distT="0" distB="0" distL="0" distR="0" wp14:anchorId="19152ABE" wp14:editId="19152ABF">
            <wp:extent cx="6218555" cy="2413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55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152A72" w14:textId="77777777" w:rsid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4184B">
        <w:rPr>
          <w:rFonts w:ascii="Times New Roman" w:hAnsi="Times New Roman" w:cs="Times New Roman"/>
          <w:sz w:val="36"/>
          <w:szCs w:val="36"/>
        </w:rPr>
        <w:t>Ministerstvo vnútra Slovenskej republiky</w:t>
      </w:r>
    </w:p>
    <w:p w14:paraId="19152A73" w14:textId="77777777" w:rsidR="0044184B" w:rsidRP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84B">
        <w:rPr>
          <w:rFonts w:ascii="Times New Roman" w:hAnsi="Times New Roman" w:cs="Times New Roman"/>
          <w:sz w:val="28"/>
          <w:szCs w:val="28"/>
        </w:rPr>
        <w:t xml:space="preserve">ako sprostredkovateľský orgán </w:t>
      </w:r>
    </w:p>
    <w:p w14:paraId="19152A74" w14:textId="77777777" w:rsidR="0044184B" w:rsidRPr="0044184B" w:rsidRDefault="0044184B" w:rsidP="004418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184B">
        <w:rPr>
          <w:rFonts w:ascii="Times New Roman" w:hAnsi="Times New Roman" w:cs="Times New Roman"/>
          <w:sz w:val="28"/>
          <w:szCs w:val="28"/>
        </w:rPr>
        <w:t>pre Operačný program Kvalita životného prostredia</w:t>
      </w:r>
    </w:p>
    <w:p w14:paraId="19152A75" w14:textId="1BBFBC3A" w:rsidR="008D1234" w:rsidRPr="006A18E6" w:rsidRDefault="008D1234" w:rsidP="00DE7FC5">
      <w:pPr>
        <w:pStyle w:val="MPCKO2"/>
        <w:shd w:val="clear" w:color="auto" w:fill="7EA434"/>
        <w:ind w:right="-709"/>
        <w:jc w:val="center"/>
        <w:rPr>
          <w:sz w:val="36"/>
          <w:szCs w:val="36"/>
        </w:rPr>
      </w:pPr>
      <w:r w:rsidRPr="008219DA">
        <w:rPr>
          <w:sz w:val="44"/>
          <w:szCs w:val="44"/>
        </w:rPr>
        <w:t xml:space="preserve">  </w:t>
      </w:r>
      <w:r w:rsidRPr="006A18E6">
        <w:rPr>
          <w:color w:val="FFFFFF" w:themeColor="background1"/>
          <w:sz w:val="36"/>
          <w:szCs w:val="36"/>
        </w:rPr>
        <w:t>Osobitné podmienky oprávnenosti výdavkov</w:t>
      </w:r>
    </w:p>
    <w:p w14:paraId="19152A76" w14:textId="77777777" w:rsidR="008D1234" w:rsidRDefault="008D1234" w:rsidP="00DE7FC5">
      <w:pPr>
        <w:rPr>
          <w:sz w:val="20"/>
          <w:szCs w:val="20"/>
        </w:rPr>
      </w:pPr>
    </w:p>
    <w:tbl>
      <w:tblPr>
        <w:tblStyle w:val="Mriekatabuky1"/>
        <w:tblW w:w="9781" w:type="dxa"/>
        <w:tblInd w:w="108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81"/>
      </w:tblGrid>
      <w:tr w:rsidR="008219DA" w:rsidRPr="008D1234" w14:paraId="19152A78" w14:textId="77777777" w:rsidTr="0035404E">
        <w:trPr>
          <w:trHeight w:val="266"/>
        </w:trPr>
        <w:tc>
          <w:tcPr>
            <w:tcW w:w="5000" w:type="pct"/>
            <w:shd w:val="clear" w:color="auto" w:fill="C2D69B"/>
          </w:tcPr>
          <w:p w14:paraId="19152A77" w14:textId="77777777" w:rsidR="008219DA" w:rsidRPr="00DE7FC5" w:rsidRDefault="008219DA" w:rsidP="007B75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FC5">
              <w:rPr>
                <w:rFonts w:ascii="Times New Roman" w:hAnsi="Times New Roman" w:cs="Times New Roman"/>
                <w:b/>
                <w:sz w:val="32"/>
                <w:szCs w:val="28"/>
              </w:rPr>
              <w:t>Zoznam oprávnených výdavkov projektu:</w:t>
            </w:r>
          </w:p>
        </w:tc>
      </w:tr>
      <w:tr w:rsidR="008D1234" w:rsidRPr="008D1234" w14:paraId="19152A7D" w14:textId="77777777" w:rsidTr="0035404E">
        <w:trPr>
          <w:trHeight w:val="1891"/>
        </w:trPr>
        <w:tc>
          <w:tcPr>
            <w:tcW w:w="5000" w:type="pct"/>
            <w:shd w:val="clear" w:color="auto" w:fill="FFFFFF" w:themeFill="background1"/>
          </w:tcPr>
          <w:p w14:paraId="19152A79" w14:textId="09206108" w:rsidR="008D1234" w:rsidRPr="00D27408" w:rsidRDefault="008219DA" w:rsidP="007B7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Poskytovateľ overuje vecnú oprávnenosť výdavkov projektu na základe posúdenia, či žiadané výdavky projektu vecne spadajú do rozsahu oprávnených výdavkov určených v zozname oprávnených výdavkov uvedenom v tomto dokumente. Zoznam oprávnených výdavkov obsahuje uzavretý zoznam tried a skupín oprávnených výdavkov a v rámci nich najčastejšie sa vyskytujúce typy oprávnených výdavkov v rámci tejto výzvy v súlade s </w:t>
            </w:r>
            <w:r w:rsidRPr="00D274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Číselníkom oprávnených výdavkov, verzia 1.</w:t>
            </w:r>
            <w:r w:rsidR="000A51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, ktorý tvorí prílohu č. 1 </w:t>
            </w:r>
            <w:r w:rsidRPr="001C25AE">
              <w:rPr>
                <w:rFonts w:ascii="Times New Roman" w:hAnsi="Times New Roman" w:cs="Times New Roman"/>
                <w:b/>
                <w:sz w:val="24"/>
                <w:szCs w:val="24"/>
              </w:rPr>
              <w:t>Príručky k oprávnenosti výdavkov pre dopytovo orientované projekty OP KŽP, verzia 1.</w:t>
            </w:r>
            <w:r w:rsidR="000A515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 (ďalej len „Príručka k oprávnenosti výdavkov“). </w:t>
            </w:r>
            <w:r w:rsidRPr="00D274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Všetky verzie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 dokumentu Príručka k oprávnenosti výdavkov a jeho príloh, vrátane verzií zverejnených formou sledovania vykonaných zmien, sú dostupné na </w:t>
            </w:r>
            <w:hyperlink r:id="rId13" w:history="1">
              <w:r w:rsidRPr="00D27408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t xml:space="preserve">tomto </w:t>
              </w:r>
              <w:r w:rsidRPr="00D27408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D27408">
                <w:rPr>
                  <w:rStyle w:val="Hypertextovprepojenie"/>
                  <w:rFonts w:ascii="Times New Roman" w:hAnsi="Times New Roman" w:cs="Times New Roman"/>
                  <w:sz w:val="24"/>
                  <w:szCs w:val="24"/>
                </w:rPr>
                <w:t>ieste</w:t>
              </w:r>
            </w:hyperlink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 webového sídla OP KŽP.</w:t>
            </w:r>
          </w:p>
          <w:p w14:paraId="19152A7A" w14:textId="77777777" w:rsidR="00DE7FC5" w:rsidRDefault="00DE7FC5" w:rsidP="007B7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52A7B" w14:textId="77777777" w:rsidR="00DE7FC5" w:rsidRPr="00D27408" w:rsidRDefault="00DE7FC5" w:rsidP="00D27408">
            <w:pPr>
              <w:pStyle w:val="Odsekzoznamu"/>
              <w:numPr>
                <w:ilvl w:val="0"/>
                <w:numId w:val="1"/>
              </w:numPr>
              <w:shd w:val="clear" w:color="auto" w:fill="A6A6A6" w:themeFill="background1" w:themeFillShade="A6"/>
              <w:ind w:right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7408">
              <w:rPr>
                <w:rFonts w:ascii="Times New Roman" w:hAnsi="Times New Roman" w:cs="Times New Roman"/>
                <w:b/>
                <w:sz w:val="24"/>
                <w:szCs w:val="24"/>
              </w:rPr>
              <w:t>Upozornenie: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 xml:space="preserve"> Vzhľadom na možnosť využiť inštitút partnerstva v tejto výzve, všetky typy oprávnených výdavkov môžu v rovnakej miere využiť všetky subjekty podieľajúce sa na realizácii aktivít projektu, teda žiadateľ/prijímateľ i jeho partneri. </w:t>
            </w:r>
            <w:r w:rsidR="0008691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27408">
              <w:rPr>
                <w:rFonts w:ascii="Times New Roman" w:hAnsi="Times New Roman" w:cs="Times New Roman"/>
                <w:sz w:val="24"/>
                <w:szCs w:val="24"/>
              </w:rPr>
              <w:t>V prípade, že sa medzi príkladmi oprávnených výdavkov uvádzajú výdavky žiadateľa, resp. prijímateľa, myslia sa tým aj výdavky partnera.</w:t>
            </w:r>
          </w:p>
          <w:p w14:paraId="19152A7C" w14:textId="77777777" w:rsidR="00DE7FC5" w:rsidRPr="008219DA" w:rsidRDefault="00DE7FC5" w:rsidP="007B75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234" w:rsidRPr="008D1234" w14:paraId="19152A7F" w14:textId="77777777" w:rsidTr="0035404E">
        <w:trPr>
          <w:trHeight w:val="699"/>
        </w:trPr>
        <w:tc>
          <w:tcPr>
            <w:tcW w:w="5000" w:type="pct"/>
            <w:shd w:val="clear" w:color="auto" w:fill="C2D69B"/>
          </w:tcPr>
          <w:p w14:paraId="19152A7E" w14:textId="77777777" w:rsidR="008D1234" w:rsidRPr="00DE7FC5" w:rsidRDefault="00DE7FC5" w:rsidP="004A497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E7FC5">
              <w:rPr>
                <w:rFonts w:ascii="Times New Roman" w:hAnsi="Times New Roman" w:cs="Times New Roman"/>
                <w:b/>
                <w:sz w:val="32"/>
                <w:szCs w:val="32"/>
              </w:rPr>
              <w:t>Zoznam oprávnených výdavkov projektu v rámci výzvy s kódom OPKZP-PO3-SC311-2017-</w:t>
            </w:r>
            <w:r w:rsidR="004A4970">
              <w:rPr>
                <w:rFonts w:ascii="Times New Roman" w:hAnsi="Times New Roman" w:cs="Times New Roman"/>
                <w:b/>
                <w:sz w:val="32"/>
                <w:szCs w:val="32"/>
              </w:rPr>
              <w:t>27</w:t>
            </w:r>
          </w:p>
        </w:tc>
      </w:tr>
      <w:tr w:rsidR="00DE7FC5" w:rsidRPr="008D1234" w14:paraId="19152A81" w14:textId="77777777" w:rsidTr="0035404E">
        <w:trPr>
          <w:trHeight w:val="280"/>
        </w:trPr>
        <w:tc>
          <w:tcPr>
            <w:tcW w:w="5000" w:type="pct"/>
            <w:shd w:val="clear" w:color="auto" w:fill="BFBFBF" w:themeFill="background1" w:themeFillShade="BF"/>
          </w:tcPr>
          <w:p w14:paraId="19152A80" w14:textId="77777777" w:rsidR="00DE7FC5" w:rsidRPr="00592DDA" w:rsidRDefault="00592DDA" w:rsidP="007B75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 w:rsidR="00D2740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01 - Dlhodobý nehmotný majetok</w:t>
            </w:r>
            <w:r w:rsidR="00D27408">
              <w:rPr>
                <w:rStyle w:val="Odkaznapoznmkupodiarou"/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footnoteReference w:id="2"/>
            </w:r>
          </w:p>
        </w:tc>
      </w:tr>
      <w:tr w:rsidR="00DE7FC5" w:rsidRPr="008D1234" w14:paraId="19152A83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2" w14:textId="77777777" w:rsidR="00DE7FC5" w:rsidRPr="00592DDA" w:rsidRDefault="007E6C4D" w:rsidP="00E51B00">
            <w:pPr>
              <w:tabs>
                <w:tab w:val="center" w:pos="4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013 - Softvér</w:t>
            </w:r>
            <w:r w:rsidR="00E51B0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B48E1" w:rsidRPr="008D1234" w14:paraId="19152A86" w14:textId="77777777" w:rsidTr="0035404E">
        <w:trPr>
          <w:trHeight w:val="266"/>
        </w:trPr>
        <w:tc>
          <w:tcPr>
            <w:tcW w:w="5000" w:type="pct"/>
            <w:shd w:val="clear" w:color="auto" w:fill="FFFFFF" w:themeFill="background1"/>
          </w:tcPr>
          <w:p w14:paraId="19152A84" w14:textId="752C1122" w:rsidR="007E6C4D" w:rsidRPr="007E6C4D" w:rsidRDefault="007E6C4D" w:rsidP="007E6C4D">
            <w:pPr>
              <w:pStyle w:val="Odsekzoznamu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Nákup softvéru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ak je zakúpený samostatne, tzn. že nie je súčasťou dodávky hardvéru a jeho ocenenia</w:t>
            </w:r>
            <w:r w:rsidR="002355AB">
              <w:rPr>
                <w:rFonts w:ascii="Times New Roman" w:hAnsi="Times New Roman" w:cs="Times New Roman"/>
                <w:sz w:val="24"/>
                <w:szCs w:val="24"/>
              </w:rPr>
              <w:t xml:space="preserve"> (vrátane výdavkov na obstaranie licencií súvisiacich s používaním softvéru)</w:t>
            </w:r>
          </w:p>
          <w:p w14:paraId="19152A85" w14:textId="271412AA" w:rsidR="00FB48E1" w:rsidRPr="007E6C4D" w:rsidRDefault="007E6C4D" w:rsidP="00200157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Rekonštrukcia a modernizácia softvéru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vo vlastníctve žiadateľa/partnera žiadateľa</w:t>
            </w:r>
            <w:r w:rsidR="004E299F" w:rsidRPr="007E6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C4D">
              <w:rPr>
                <w:rFonts w:ascii="Times New Roman" w:hAnsi="Times New Roman" w:cs="Times New Roman"/>
                <w:sz w:val="24"/>
                <w:szCs w:val="24"/>
              </w:rPr>
              <w:t>(napr. upgrade – pridávanie nových funkcionalít zhodnocujúcich softvér)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ktorý žiadateľ plánuje v rámci pripravovanej ŽoNFP zhodnotiť a využívať pre realizáciu a dosiahnutie cieľov projektu.</w:t>
            </w:r>
          </w:p>
        </w:tc>
      </w:tr>
      <w:tr w:rsidR="00FB48E1" w:rsidRPr="008D1234" w14:paraId="19152A88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7" w14:textId="77777777" w:rsidR="00FB48E1" w:rsidRPr="00E51B00" w:rsidRDefault="007E6C4D" w:rsidP="00E51B00">
            <w:pPr>
              <w:tabs>
                <w:tab w:val="center" w:pos="47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51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014 - Oceniteľné práva</w:t>
            </w:r>
          </w:p>
        </w:tc>
      </w:tr>
      <w:tr w:rsidR="00592DDA" w:rsidRPr="008D1234" w14:paraId="19152A8C" w14:textId="77777777" w:rsidTr="008601F8">
        <w:trPr>
          <w:trHeight w:val="501"/>
        </w:trPr>
        <w:tc>
          <w:tcPr>
            <w:tcW w:w="5000" w:type="pct"/>
            <w:shd w:val="clear" w:color="auto" w:fill="auto"/>
          </w:tcPr>
          <w:p w14:paraId="19152A8A" w14:textId="58E37762" w:rsidR="002355AB" w:rsidRDefault="00E51B00" w:rsidP="008601F8">
            <w:pPr>
              <w:pStyle w:val="Odsekzoznamu"/>
              <w:numPr>
                <w:ilvl w:val="0"/>
                <w:numId w:val="2"/>
              </w:numPr>
              <w:ind w:left="318" w:firstLine="99"/>
            </w:pPr>
            <w:r w:rsidRPr="008601F8">
              <w:rPr>
                <w:rFonts w:ascii="Times New Roman" w:hAnsi="Times New Roman" w:cs="Times New Roman"/>
                <w:sz w:val="24"/>
                <w:szCs w:val="24"/>
              </w:rPr>
              <w:t>nákup licencií (výhradných, aj nevýhradných)</w:t>
            </w:r>
            <w:r w:rsidR="00860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14:paraId="19152A8B" w14:textId="77777777" w:rsidR="002355AB" w:rsidRPr="002355AB" w:rsidRDefault="002355AB" w:rsidP="002355AB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1B00" w:rsidRPr="00592DDA" w14:paraId="19152A8E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8D" w14:textId="77777777" w:rsidR="00E51B00" w:rsidRPr="00592DDA" w:rsidRDefault="00E51B00" w:rsidP="00E51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02 - Dlhodobý hmotný majetok</w:t>
            </w:r>
          </w:p>
        </w:tc>
      </w:tr>
      <w:tr w:rsidR="00E51B00" w:rsidRPr="00592DDA" w14:paraId="19152A90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8F" w14:textId="77777777" w:rsidR="00E51B00" w:rsidRPr="00592DDA" w:rsidRDefault="00E51B00" w:rsidP="007B75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>021 - Stavby</w:t>
            </w:r>
          </w:p>
        </w:tc>
      </w:tr>
      <w:tr w:rsidR="00E51B00" w:rsidRPr="00D27408" w14:paraId="19152A92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1" w14:textId="77777777" w:rsidR="00E51B00" w:rsidRPr="00E51B00" w:rsidRDefault="00E51B00" w:rsidP="00200157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1B00">
              <w:rPr>
                <w:rFonts w:ascii="Times New Roman" w:hAnsi="Times New Roman" w:cs="Times New Roman"/>
                <w:sz w:val="24"/>
                <w:szCs w:val="24"/>
              </w:rPr>
              <w:t>stavebné práce: realizácia nových stavieb, rekonštrukcia a modernizácia stavieb, prístavby, nadstavby, stavebné úpravy (stavebné objekty, prevádzkové súbory, zriadenie staveniska) podľa špecifikácie;</w:t>
            </w:r>
          </w:p>
        </w:tc>
      </w:tr>
      <w:tr w:rsidR="00FB1ABA" w:rsidRPr="008D1234" w14:paraId="19152A94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93" w14:textId="77777777" w:rsidR="00FB1ABA" w:rsidRPr="00592DDA" w:rsidRDefault="001E6837" w:rsidP="00FB1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837">
              <w:rPr>
                <w:rFonts w:ascii="Times New Roman" w:hAnsi="Times New Roman" w:cs="Times New Roman"/>
                <w:sz w:val="28"/>
                <w:szCs w:val="28"/>
              </w:rPr>
              <w:t>022 - Samostatné hnuteľné veci a súbory hnuteľných vecí</w:t>
            </w:r>
            <w:r w:rsidR="00432591">
              <w:rPr>
                <w:rStyle w:val="Odkaznapoznmkupodiarou"/>
                <w:rFonts w:ascii="Times New Roman" w:hAnsi="Times New Roman"/>
                <w:sz w:val="28"/>
                <w:szCs w:val="28"/>
              </w:rPr>
              <w:footnoteReference w:id="3"/>
            </w:r>
          </w:p>
        </w:tc>
      </w:tr>
      <w:tr w:rsidR="001E6837" w:rsidRPr="008D1234" w14:paraId="19152A96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5" w14:textId="77777777" w:rsidR="001E6837" w:rsidRPr="001E6837" w:rsidRDefault="001E6837" w:rsidP="00E32FBC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nákup výpočtovej techniky, vrátane príslušenstva</w:t>
            </w:r>
            <w:r w:rsidR="00336DBC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4"/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1E6837" w:rsidRPr="008D1234" w14:paraId="19152A98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7" w14:textId="77777777" w:rsidR="001E6837" w:rsidRPr="001E6837" w:rsidRDefault="00284C28" w:rsidP="001E6837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nákup telekomunikačnej techniky</w:t>
            </w:r>
            <w:r w:rsidR="00C31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vrátane príslušenstva;</w:t>
            </w:r>
          </w:p>
        </w:tc>
      </w:tr>
      <w:tr w:rsidR="00284C28" w:rsidRPr="008D1234" w14:paraId="19152A9A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9" w14:textId="77777777" w:rsidR="00284C28" w:rsidRPr="001E6837" w:rsidRDefault="00284C28" w:rsidP="00284C28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 xml:space="preserve">nákup špeciálnych strojov, prístrojov, zariadení, techniky a náradia (napr.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meracie, monitorovacie, signálno-bezpečnostné (vyrozumievacie, varovacie), požiarna technika, materiál na ochranu života a zdravia policajtov, špeciálny materiál CO</w:t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>), vrátane prvého zaškolenia obsluhy (ak relevantné) v prípade, že verejné obstarávanie tovarov (technologického a strojného zariadenia) sa uskutoční samostatne, t.</w:t>
            </w:r>
            <w:r w:rsidR="005F2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6837">
              <w:rPr>
                <w:rFonts w:ascii="Times New Roman" w:hAnsi="Times New Roman" w:cs="Times New Roman"/>
                <w:sz w:val="24"/>
                <w:szCs w:val="24"/>
              </w:rPr>
              <w:t xml:space="preserve">j.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mimo stavebných prác. </w:t>
            </w:r>
            <w:r w:rsidRPr="00284C28">
              <w:rPr>
                <w:rFonts w:ascii="Times New Roman" w:hAnsi="Times New Roman" w:cs="Times New Roman"/>
                <w:sz w:val="24"/>
                <w:szCs w:val="24"/>
              </w:rPr>
              <w:t>Z tejto podpoložky sa uhrádzajú aj výdavky na osobné ochranné pracovné prostriedky ak spĺňajú kritériá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nákupu z kapitálových výdavkov;</w:t>
            </w:r>
          </w:p>
        </w:tc>
      </w:tr>
      <w:tr w:rsidR="00284C28" w:rsidRPr="008D1234" w14:paraId="19152A9C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9B" w14:textId="77777777" w:rsidR="00284C28" w:rsidRPr="001E6837" w:rsidRDefault="00284C28" w:rsidP="00284C28">
            <w:pPr>
              <w:pStyle w:val="Odsekzoznamu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nákup komunikačnej infraštruktúry</w:t>
            </w:r>
            <w:r w:rsidR="00C319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vrátane príslušenstva;</w:t>
            </w:r>
          </w:p>
        </w:tc>
      </w:tr>
      <w:tr w:rsidR="00C31918" w:rsidRPr="00592DDA" w14:paraId="19152A9E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9D" w14:textId="77777777" w:rsidR="00C31918" w:rsidRPr="00592DDA" w:rsidRDefault="00C31918" w:rsidP="00C319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11 - Zásoby</w:t>
            </w:r>
            <w:r w:rsidR="000A15E2">
              <w:rPr>
                <w:rStyle w:val="Odkaznapoznmkupodiarou"/>
                <w:rFonts w:ascii="Times New Roman" w:hAnsi="Times New Roman"/>
                <w:b/>
                <w:color w:val="FFFFFF" w:themeColor="background1"/>
                <w:sz w:val="28"/>
                <w:szCs w:val="28"/>
              </w:rPr>
              <w:footnoteReference w:id="5"/>
            </w:r>
          </w:p>
        </w:tc>
      </w:tr>
      <w:tr w:rsidR="00C31918" w:rsidRPr="00592DDA" w14:paraId="19152AA0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9F" w14:textId="77777777" w:rsidR="00C31918" w:rsidRPr="00592DDA" w:rsidRDefault="00C31918" w:rsidP="00C319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Zásoby</w:t>
            </w:r>
          </w:p>
        </w:tc>
      </w:tr>
      <w:tr w:rsidR="00284C28" w:rsidRPr="008D1234" w14:paraId="19152AA2" w14:textId="77777777" w:rsidTr="0035404E">
        <w:trPr>
          <w:trHeight w:val="266"/>
        </w:trPr>
        <w:tc>
          <w:tcPr>
            <w:tcW w:w="5000" w:type="pct"/>
            <w:shd w:val="clear" w:color="auto" w:fill="auto"/>
          </w:tcPr>
          <w:p w14:paraId="19152AA1" w14:textId="77777777" w:rsidR="00284C28" w:rsidRPr="00877581" w:rsidRDefault="007B753C" w:rsidP="00877581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53C">
              <w:rPr>
                <w:rFonts w:ascii="Times New Roman" w:hAnsi="Times New Roman" w:cs="Times New Roman"/>
                <w:sz w:val="24"/>
                <w:szCs w:val="24"/>
              </w:rPr>
              <w:t>nákup výpočtovej techniky, vrátane príslušenstva;</w:t>
            </w:r>
          </w:p>
        </w:tc>
      </w:tr>
      <w:tr w:rsidR="00B62BAC" w:rsidRPr="008D1234" w14:paraId="19152AA4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3" w14:textId="77777777" w:rsidR="00B62BAC" w:rsidRDefault="007B753C" w:rsidP="007B753C">
            <w:pPr>
              <w:pStyle w:val="Odsekzoznamu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7581">
              <w:rPr>
                <w:rFonts w:ascii="Times New Roman" w:hAnsi="Times New Roman" w:cs="Times New Roman"/>
                <w:sz w:val="24"/>
                <w:szCs w:val="24"/>
              </w:rPr>
              <w:t>nákup telekomunikačnej techniky, vrátane príslušenstva</w:t>
            </w:r>
            <w:r w:rsidR="00B62765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6"/>
            </w:r>
            <w:r w:rsidRPr="008775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55C33" w:rsidRPr="00592DDA" w14:paraId="19152AA6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A5" w14:textId="77777777" w:rsidR="00955C33" w:rsidRPr="00592DDA" w:rsidRDefault="00955C33" w:rsidP="00955C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51 - Služby</w:t>
            </w:r>
          </w:p>
        </w:tc>
      </w:tr>
      <w:tr w:rsidR="00955C33" w:rsidRPr="00592DDA" w14:paraId="19152AA8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A7" w14:textId="77777777" w:rsidR="00955C33" w:rsidRPr="00592DDA" w:rsidRDefault="00F72433" w:rsidP="00F72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955C33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C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55C33"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Cestovné náhrady</w:t>
            </w:r>
            <w:r w:rsidR="00764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2BAC" w:rsidRPr="008D1234" w14:paraId="19152AAA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9" w14:textId="49ADA02B" w:rsidR="00B62BAC" w:rsidRPr="00501644" w:rsidRDefault="00501644" w:rsidP="00200157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1644">
              <w:rPr>
                <w:rFonts w:ascii="Times New Roman" w:hAnsi="Times New Roman" w:cs="Times New Roman"/>
                <w:sz w:val="24"/>
                <w:szCs w:val="24"/>
              </w:rPr>
              <w:t>tuzemské</w:t>
            </w:r>
            <w:r w:rsidR="007B6BCA">
              <w:rPr>
                <w:rFonts w:ascii="Times New Roman" w:hAnsi="Times New Roman" w:cs="Times New Roman"/>
                <w:sz w:val="24"/>
                <w:szCs w:val="24"/>
              </w:rPr>
              <w:t xml:space="preserve"> a zahraničné</w:t>
            </w:r>
            <w:r w:rsidRPr="00501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cestovné náhrady </w:t>
            </w:r>
            <w:r w:rsidR="00200157" w:rsidRPr="00200157">
              <w:rPr>
                <w:rFonts w:ascii="Times New Roman" w:hAnsi="Times New Roman" w:cs="Times New Roman"/>
                <w:sz w:val="24"/>
                <w:szCs w:val="24"/>
              </w:rPr>
              <w:t>bezprostredne súvisiace s realizáciou HAP (cestovné náhrady na ubytovanie sú oprávnené do výšky stanovených finančných limitov</w:t>
            </w:r>
            <w:r w:rsidR="00200157" w:rsidRPr="0008096A">
              <w:rPr>
                <w:rStyle w:val="Odkaznapoznmkupodiarou"/>
                <w:rFonts w:ascii="Arial Narrow" w:hAnsi="Arial Narrow"/>
              </w:rPr>
              <w:footnoteReference w:id="7"/>
            </w:r>
            <w:r w:rsidR="00200157" w:rsidRPr="0008096A">
              <w:rPr>
                <w:rFonts w:ascii="Arial Narrow" w:hAnsi="Arial Narrow" w:cs="Times New Roman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37AE1" w:rsidRPr="008D1234" w14:paraId="19152AAC" w14:textId="77777777" w:rsidTr="0035404E">
        <w:trPr>
          <w:trHeight w:val="60"/>
        </w:trPr>
        <w:tc>
          <w:tcPr>
            <w:tcW w:w="5000" w:type="pct"/>
            <w:shd w:val="clear" w:color="auto" w:fill="D9D9D9" w:themeFill="background1" w:themeFillShade="D9"/>
          </w:tcPr>
          <w:p w14:paraId="19152AAB" w14:textId="77777777" w:rsidR="00337AE1" w:rsidRPr="007B6BCA" w:rsidRDefault="00337AE1" w:rsidP="0033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Ostatné služby </w:t>
            </w:r>
          </w:p>
        </w:tc>
      </w:tr>
      <w:tr w:rsidR="00B62BAC" w:rsidRPr="008D1234" w14:paraId="19152AAE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D" w14:textId="77777777" w:rsidR="00B62BAC" w:rsidRPr="00337AE1" w:rsidRDefault="004554E1" w:rsidP="0071308D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</w:t>
            </w:r>
            <w:r w:rsidRPr="004554E1">
              <w:rPr>
                <w:rFonts w:ascii="Times New Roman" w:hAnsi="Times New Roman" w:cs="Times New Roman"/>
                <w:sz w:val="24"/>
                <w:szCs w:val="24"/>
              </w:rPr>
              <w:t>kolenia, kurzy, semináre, porady, konferencie, sympóziá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B62BAC" w:rsidRPr="008D1234" w14:paraId="19152AB0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AF" w14:textId="77777777" w:rsidR="00B62BAC" w:rsidRPr="004554E1" w:rsidRDefault="004554E1" w:rsidP="0071308D">
            <w:pPr>
              <w:pStyle w:val="Odsekzoznamu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Pr="004554E1">
              <w:rPr>
                <w:rFonts w:ascii="Times New Roman" w:hAnsi="Times New Roman" w:cs="Times New Roman"/>
                <w:sz w:val="24"/>
                <w:szCs w:val="24"/>
              </w:rPr>
              <w:t>šeobecné služby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(napr. tlač brožúr a iných publikácií (aj distribúcia));</w:t>
            </w:r>
          </w:p>
        </w:tc>
      </w:tr>
      <w:tr w:rsidR="00B62BAC" w:rsidRPr="008D1234" w14:paraId="19152AB2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19152AB1" w14:textId="3D4C811B" w:rsidR="00E915DF" w:rsidRPr="008F3630" w:rsidRDefault="008F3630" w:rsidP="00E915DF">
            <w:pPr>
              <w:pStyle w:val="Odsekzoznamu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špeciálne služby (napr. 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služby poskytnuté formou outsourcingu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služby externého manažmentu na projekty pre čerpanie finančných prostriedkov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F3630">
              <w:rPr>
                <w:rFonts w:ascii="Times New Roman" w:hAnsi="Times New Roman" w:cs="Times New Roman"/>
                <w:sz w:val="24"/>
                <w:szCs w:val="24"/>
              </w:rPr>
              <w:t>EÚ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915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915DF" w:rsidRPr="008D1234" w14:paraId="2229EA95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4C6A396D" w14:textId="195E448B" w:rsidR="00E915DF" w:rsidRPr="00E915DF" w:rsidRDefault="00E915DF" w:rsidP="00E915DF">
            <w:pPr>
              <w:pStyle w:val="Odsekzoznamu"/>
              <w:numPr>
                <w:ilvl w:val="0"/>
                <w:numId w:val="5"/>
              </w:numPr>
              <w:spacing w:before="80" w:after="8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výroba a osadenie dočasného (veľkoplošného) pútača a stálej tabule 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u w:val="single"/>
                <w:lang w:eastAsia="sk-SK"/>
              </w:rPr>
              <w:t>alebo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plagátu</w:t>
            </w:r>
            <w:r w:rsidRPr="00E915DF">
              <w:rPr>
                <w:rStyle w:val="Odkaznapoznmkupodiarou"/>
                <w:rFonts w:ascii="Times New Roman" w:hAnsi="Times New Roman"/>
                <w:sz w:val="24"/>
                <w:szCs w:val="24"/>
                <w:lang w:eastAsia="sk-SK"/>
              </w:rPr>
              <w:footnoteReference w:id="8"/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(nepriame výdavky)</w:t>
            </w:r>
            <w:r w:rsidRPr="00E915DF">
              <w:rPr>
                <w:rStyle w:val="Odkaznapoznmkupodiarou"/>
                <w:rFonts w:ascii="Times New Roman" w:hAnsi="Times New Roman"/>
                <w:sz w:val="24"/>
                <w:szCs w:val="24"/>
                <w:lang w:eastAsia="sk-SK"/>
              </w:rPr>
              <w:footnoteReference w:id="9"/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do výšky stanovených finančných limitov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E915D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>;</w:t>
            </w:r>
          </w:p>
        </w:tc>
      </w:tr>
      <w:tr w:rsidR="00E915DF" w:rsidRPr="008D1234" w14:paraId="6255C7E8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35C1AEA5" w14:textId="65809650" w:rsidR="00E915DF" w:rsidRPr="00E915DF" w:rsidRDefault="00E915DF" w:rsidP="00E915DF">
            <w:pPr>
              <w:numPr>
                <w:ilvl w:val="0"/>
                <w:numId w:val="5"/>
              </w:num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výdavky na publikovanie článkov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projekte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7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(nepriame výdavky)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do výšky stanoveného finančného limitu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C97246" w:rsidRPr="00592DDA" w14:paraId="19152AB4" w14:textId="77777777" w:rsidTr="0035404E">
        <w:trPr>
          <w:trHeight w:val="480"/>
        </w:trPr>
        <w:tc>
          <w:tcPr>
            <w:tcW w:w="5000" w:type="pct"/>
            <w:shd w:val="clear" w:color="auto" w:fill="BFBFBF" w:themeFill="background1" w:themeFillShade="BF"/>
          </w:tcPr>
          <w:p w14:paraId="19152AB3" w14:textId="77777777" w:rsidR="00C97246" w:rsidRPr="00592DDA" w:rsidRDefault="00C97246" w:rsidP="00C97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DDA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Trieda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 52 – Osobné výdavky</w:t>
            </w:r>
          </w:p>
        </w:tc>
      </w:tr>
      <w:tr w:rsidR="00C97246" w:rsidRPr="00592DDA" w14:paraId="19152AB6" w14:textId="77777777" w:rsidTr="0035404E">
        <w:trPr>
          <w:trHeight w:val="266"/>
        </w:trPr>
        <w:tc>
          <w:tcPr>
            <w:tcW w:w="5000" w:type="pct"/>
            <w:shd w:val="clear" w:color="auto" w:fill="D9D9D9" w:themeFill="background1" w:themeFillShade="D9"/>
          </w:tcPr>
          <w:p w14:paraId="19152AB5" w14:textId="063ED1BC" w:rsidR="00C97246" w:rsidRPr="00592DDA" w:rsidRDefault="00C97246" w:rsidP="00C97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51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Mzdové výdavky</w:t>
            </w:r>
            <w:r w:rsidR="00200157">
              <w:rPr>
                <w:rStyle w:val="Odkaznapoznmkupodiarou"/>
                <w:rFonts w:ascii="Times New Roman" w:hAnsi="Times New Roman"/>
                <w:sz w:val="28"/>
                <w:szCs w:val="28"/>
              </w:rPr>
              <w:footnoteReference w:id="10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62BAC" w:rsidRPr="008D1234" w14:paraId="19152ABA" w14:textId="77777777" w:rsidTr="0035404E">
        <w:trPr>
          <w:trHeight w:val="60"/>
        </w:trPr>
        <w:tc>
          <w:tcPr>
            <w:tcW w:w="5000" w:type="pct"/>
            <w:shd w:val="clear" w:color="auto" w:fill="auto"/>
          </w:tcPr>
          <w:p w14:paraId="2873BE37" w14:textId="2F85D0EC" w:rsidR="00A80AEC" w:rsidRPr="00A80AEC" w:rsidRDefault="00A80AEC" w:rsidP="00E915DF">
            <w:pPr>
              <w:numPr>
                <w:ilvl w:val="0"/>
                <w:numId w:val="6"/>
              </w:num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80AEC">
              <w:rPr>
                <w:rFonts w:ascii="Times New Roman" w:hAnsi="Times New Roman" w:cs="Times New Roman"/>
                <w:b/>
                <w:sz w:val="24"/>
                <w:szCs w:val="24"/>
              </w:rPr>
              <w:t>mzdové výdavky zamestnancov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 xml:space="preserve"> bezprostredne súvisiace </w:t>
            </w:r>
            <w:r w:rsidRPr="00A80A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 realizáciou HAP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 xml:space="preserve"> (priame výdavky) do výšky stanovených finančných limitov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A80A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152AB8" w14:textId="5D08D18D" w:rsidR="008424AF" w:rsidRDefault="008424AF" w:rsidP="00E915D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odmeny</w:t>
            </w:r>
            <w:r w:rsidR="00200157">
              <w:rPr>
                <w:rFonts w:ascii="Times New Roman" w:hAnsi="Times New Roman" w:cs="Times New Roman"/>
                <w:sz w:val="24"/>
                <w:szCs w:val="24"/>
              </w:rPr>
              <w:t xml:space="preserve"> za práce vykonané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mimo pracovného pomeru</w:t>
            </w:r>
            <w:r w:rsidR="00A80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</w:rPr>
              <w:t xml:space="preserve">bezprostredne súvisiace 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 realizáciou HAP</w:t>
            </w:r>
            <w:r w:rsidR="00A80AEC" w:rsidRPr="00DE2284">
              <w:rPr>
                <w:rFonts w:ascii="Times New Roman" w:hAnsi="Times New Roman" w:cs="Times New Roman"/>
                <w:sz w:val="24"/>
                <w:szCs w:val="24"/>
              </w:rPr>
              <w:t xml:space="preserve"> (priame výdavky) do výšky stanovených finančných limitov</w:t>
            </w:r>
            <w:r w:rsidR="00A80A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25022E" w14:textId="025E22FD" w:rsidR="00E915DF" w:rsidRPr="00E915DF" w:rsidRDefault="00E915DF" w:rsidP="00E915DF">
            <w:pPr>
              <w:widowControl w:val="0"/>
              <w:numPr>
                <w:ilvl w:val="0"/>
                <w:numId w:val="6"/>
              </w:num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91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mzdové výdavky zamestnancov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prijímateľa bezprostredne súvisiace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s riadením projektu - interné</w:t>
            </w:r>
            <w:r>
              <w:rPr>
                <w:rStyle w:val="Odkaznapoznmkupodiarou"/>
                <w:rFonts w:ascii="Times New Roman" w:eastAsia="Times New Roman" w:hAnsi="Times New Roman"/>
                <w:sz w:val="24"/>
                <w:szCs w:val="24"/>
                <w:u w:val="single"/>
                <w:lang w:eastAsia="sk-SK"/>
              </w:rPr>
              <w:footnoteReference w:id="11"/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(nepriame výdavky) do výšky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stanoveného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finančného limitu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6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;</w:t>
            </w:r>
          </w:p>
          <w:p w14:paraId="19152AB9" w14:textId="365C0582" w:rsidR="00B62BAC" w:rsidRPr="00C97246" w:rsidRDefault="00E915DF" w:rsidP="00F14E4F">
            <w:pPr>
              <w:pStyle w:val="Odsekzoznamu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5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odmeny za práce vykonané mimo pracovného pomeru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bezprostredne súvisiace 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 xml:space="preserve">s riadením projektu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–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 xml:space="preserve"> interné</w:t>
            </w:r>
            <w:r w:rsidR="00F14E4F" w:rsidRPr="00F14E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sk-SK"/>
              </w:rPr>
              <w:t>10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(nepriame výdavky) do výšky </w:t>
            </w:r>
            <w:r w:rsidRPr="00E915DF">
              <w:rPr>
                <w:rFonts w:ascii="Times New Roman" w:hAnsi="Times New Roman" w:cs="Times New Roman"/>
                <w:sz w:val="24"/>
                <w:szCs w:val="24"/>
              </w:rPr>
              <w:t>stanoveného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finančného limitu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sk-SK"/>
              </w:rPr>
              <w:t>6</w:t>
            </w:r>
            <w:r w:rsidRPr="00E915D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</w:tc>
      </w:tr>
    </w:tbl>
    <w:p w14:paraId="19152ABB" w14:textId="77777777" w:rsidR="008D1234" w:rsidRPr="00DC7648" w:rsidRDefault="008D1234" w:rsidP="00E915DF">
      <w:pPr>
        <w:tabs>
          <w:tab w:val="left" w:pos="2715"/>
        </w:tabs>
      </w:pPr>
    </w:p>
    <w:sectPr w:rsidR="008D1234" w:rsidRPr="00DC7648" w:rsidSect="00966911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E12DF" w14:textId="77777777" w:rsidR="00D24700" w:rsidRDefault="00D24700" w:rsidP="00AD61A5">
      <w:pPr>
        <w:spacing w:after="0" w:line="240" w:lineRule="auto"/>
      </w:pPr>
      <w:r>
        <w:separator/>
      </w:r>
    </w:p>
  </w:endnote>
  <w:endnote w:type="continuationSeparator" w:id="0">
    <w:p w14:paraId="48C88CDD" w14:textId="77777777" w:rsidR="00D24700" w:rsidRDefault="00D24700" w:rsidP="00AD61A5">
      <w:pPr>
        <w:spacing w:after="0" w:line="240" w:lineRule="auto"/>
      </w:pPr>
      <w:r>
        <w:continuationSeparator/>
      </w:r>
    </w:p>
  </w:endnote>
  <w:endnote w:type="continuationNotice" w:id="1">
    <w:p w14:paraId="73FC9D19" w14:textId="77777777" w:rsidR="00D24700" w:rsidRDefault="00D247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75709" w14:textId="77777777" w:rsidR="00D24700" w:rsidRDefault="00D24700" w:rsidP="00AD61A5">
      <w:pPr>
        <w:spacing w:after="0" w:line="240" w:lineRule="auto"/>
      </w:pPr>
      <w:r>
        <w:separator/>
      </w:r>
    </w:p>
  </w:footnote>
  <w:footnote w:type="continuationSeparator" w:id="0">
    <w:p w14:paraId="44E01C1D" w14:textId="77777777" w:rsidR="00D24700" w:rsidRDefault="00D24700" w:rsidP="00AD61A5">
      <w:pPr>
        <w:spacing w:after="0" w:line="240" w:lineRule="auto"/>
      </w:pPr>
      <w:r>
        <w:continuationSeparator/>
      </w:r>
    </w:p>
  </w:footnote>
  <w:footnote w:type="continuationNotice" w:id="1">
    <w:p w14:paraId="6D061C69" w14:textId="77777777" w:rsidR="00D24700" w:rsidRDefault="00D24700">
      <w:pPr>
        <w:spacing w:after="0" w:line="240" w:lineRule="auto"/>
      </w:pPr>
    </w:p>
  </w:footnote>
  <w:footnote w:id="2">
    <w:p w14:paraId="19152AC8" w14:textId="77777777" w:rsidR="005330B7" w:rsidRDefault="005330B7" w:rsidP="00D2740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D27408">
        <w:t>Radia sa sem zložky nehmotného majetku, ktorých ocenenie je vyššie ako suma 2 400 EUR a doba použiteľnosti dlhšia ako jeden rok. Podľa rozhodnutia účtovnej jednotky/prijímateľa sem možno zaradiť aj dlhodobý nehmotný majetok, ktorého ocenenie sa rovná tejto sume alebo je nižšie, ak doba použiteľnosti tohto majetku je dlhšia ako jeden rok a účtovná jednotka postupuje v súlade so svojou internou smernicou k postupom účtovania.</w:t>
      </w:r>
    </w:p>
  </w:footnote>
  <w:footnote w:id="3">
    <w:p w14:paraId="19152AC9" w14:textId="6B4C5898" w:rsidR="00432591" w:rsidRDefault="00432591" w:rsidP="003F4CC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32591">
        <w:t xml:space="preserve">Radí sa sem hmotný majetok, ktorý má samostatné technicko-ekonomické určenie s dobou použiteľnosti dlhšou ako jeden rok a v ocenení vyššom ako je suma 1 700 EUR. Podľa rozhodnutia účtovnej jednotky/prijímateľa sem možno zaradiť aj dlhodobý hmotný majetok, ktorého ocenenie sa rovná tejto sume alebo je nižšie, ak doba použiteľnosti tohto majetku je dlhšia ako jeden rok a účtovná jednotka postupuje </w:t>
      </w:r>
      <w:r w:rsidR="000A5157">
        <w:t xml:space="preserve">                           </w:t>
      </w:r>
      <w:r w:rsidRPr="00432591">
        <w:t xml:space="preserve">v súlade so svojou internou smernicou k postupom účtovania.  </w:t>
      </w:r>
    </w:p>
  </w:footnote>
  <w:footnote w:id="4">
    <w:p w14:paraId="19152ACA" w14:textId="77777777" w:rsidR="005330B7" w:rsidRDefault="005330B7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Pri obstarávaní výpočtovej techniky sa pre potreby ekonomickej klasifikácie pod pojmom počítač rozumie monitor, hardvér, klávesnica a myš. Príslušenstvo k počítaču je všetko, čo sa priradí k hlavnej veci – počítaču súčasne alebo dodatočne, tvorí s hlavnou vecou jeden celok a je súčasťou jeho ocenenia (napr. tlačiareň, podávač k tlačiarni, modem, skener k počítaču). Pokiaľ príslušné predmety netvoria s hlavnou vecou jeden majetkový celok, ide o samostatné hnuteľné veci a kritérium pre zatriedenie výdavkov je obstarávacia cena. </w:t>
      </w:r>
    </w:p>
  </w:footnote>
  <w:footnote w:id="5">
    <w:p w14:paraId="19152ACB" w14:textId="77777777" w:rsidR="000A15E2" w:rsidRDefault="000A15E2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A15E2">
        <w:t xml:space="preserve">V rámci triedy sa zaraďujú hnuteľné veci s dobou použiteľnosti najviac jeden rok bez ohľadu na obstarávaciu cenu. V danej triede sa vykazuje aj hmotný majetok, ktorý nie je definovaný ako dlhodobý hmotný majetok (trieda 02)  </w:t>
      </w:r>
    </w:p>
  </w:footnote>
  <w:footnote w:id="6">
    <w:p w14:paraId="19152ACC" w14:textId="77777777" w:rsidR="00B62765" w:rsidRDefault="00B62765" w:rsidP="000A15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Vrátane špeciálneho spojovacieho a zabezpečovacieho materiálu a materiálu pre zabezpečenie zvukového a obrazového spojenia. Samostatné zariadenia na prenos informácií pripojené na rozvodné siete.</w:t>
      </w:r>
    </w:p>
  </w:footnote>
  <w:footnote w:id="7">
    <w:p w14:paraId="01A40DE0" w14:textId="77777777" w:rsidR="00200157" w:rsidRPr="0099352E" w:rsidRDefault="00200157" w:rsidP="0020015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99352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9352E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200157">
        <w:t xml:space="preserve">Limity pre tento oprávnený výdavok sú uvedené v </w:t>
      </w:r>
      <w:r w:rsidRPr="00200157">
        <w:rPr>
          <w:u w:val="single"/>
        </w:rPr>
        <w:t>prílohe č. 2</w:t>
      </w:r>
      <w:r w:rsidRPr="00200157">
        <w:t xml:space="preserve"> </w:t>
      </w:r>
      <w:r w:rsidRPr="00200157">
        <w:rPr>
          <w:i/>
        </w:rPr>
        <w:t>Príručky k oprávnenosti výdavkov</w:t>
      </w:r>
      <w:r w:rsidRPr="00200157">
        <w:t xml:space="preserve"> - </w:t>
      </w:r>
      <w:r w:rsidRPr="00200157">
        <w:rPr>
          <w:u w:val="single"/>
        </w:rPr>
        <w:t>Finančné a percentuálne limity</w:t>
      </w:r>
      <w:r w:rsidRPr="007F6D83">
        <w:t>, verzia 1.9.</w:t>
      </w:r>
    </w:p>
  </w:footnote>
  <w:footnote w:id="8">
    <w:p w14:paraId="580088F6" w14:textId="32A5EAC8" w:rsidR="00E915DF" w:rsidRPr="007F6D83" w:rsidRDefault="00E915DF" w:rsidP="008601F8">
      <w:pPr>
        <w:pStyle w:val="Textpoznmkypodiarou"/>
        <w:tabs>
          <w:tab w:val="left" w:pos="284"/>
        </w:tabs>
        <w:jc w:val="both"/>
        <w:rPr>
          <w:sz w:val="18"/>
          <w:szCs w:val="18"/>
        </w:rPr>
      </w:pPr>
      <w:r w:rsidRPr="007F6D83">
        <w:rPr>
          <w:rStyle w:val="Odkaznapoznmkupodiarou"/>
          <w:sz w:val="18"/>
          <w:szCs w:val="18"/>
        </w:rPr>
        <w:footnoteRef/>
      </w:r>
      <w:r w:rsidR="008601F8">
        <w:rPr>
          <w:sz w:val="18"/>
          <w:szCs w:val="18"/>
        </w:rPr>
        <w:t xml:space="preserve"> </w:t>
      </w:r>
      <w:r w:rsidRPr="007F6D83">
        <w:rPr>
          <w:sz w:val="18"/>
          <w:szCs w:val="18"/>
        </w:rPr>
        <w:t>Výdavky, ktoré súvisia s informovaním verejnosti o podpore, ktorú projekt získal z európskych štrukturálnych a</w:t>
      </w:r>
      <w:r w:rsidR="008601F8">
        <w:rPr>
          <w:sz w:val="18"/>
          <w:szCs w:val="18"/>
        </w:rPr>
        <w:t> </w:t>
      </w:r>
      <w:r w:rsidRPr="007F6D83">
        <w:rPr>
          <w:sz w:val="18"/>
          <w:szCs w:val="18"/>
        </w:rPr>
        <w:t>investičných</w:t>
      </w:r>
      <w:r w:rsidR="008601F8">
        <w:rPr>
          <w:sz w:val="18"/>
          <w:szCs w:val="18"/>
        </w:rPr>
        <w:t xml:space="preserve">  </w:t>
      </w:r>
      <w:r w:rsidRPr="007F6D83">
        <w:rPr>
          <w:sz w:val="18"/>
          <w:szCs w:val="18"/>
        </w:rPr>
        <w:t xml:space="preserve"> fondov (ďalej len „EŠIF“) a štátneho rozpočtu SR (ďalej len „ŠR SR“) na jeho spolufinancovanie. Jednotlivé nástroje pre informovanie a komunikáciu (vrátane technických parametrov a minimálnych požiadaviek) sú bližšie špecifikované v platnej verzii </w:t>
      </w:r>
      <w:hyperlink r:id="rId1" w:history="1">
        <w:r w:rsidRPr="007F6D83">
          <w:rPr>
            <w:rStyle w:val="Hypertextovprepojenie"/>
            <w:i/>
            <w:color w:val="0000FF"/>
            <w:sz w:val="18"/>
            <w:szCs w:val="18"/>
          </w:rPr>
          <w:t>Manuálu pre informovanie a komu</w:t>
        </w:r>
        <w:r w:rsidRPr="007F6D83">
          <w:rPr>
            <w:rStyle w:val="Hypertextovprepojenie"/>
            <w:i/>
            <w:color w:val="0000FF"/>
            <w:sz w:val="18"/>
            <w:szCs w:val="18"/>
          </w:rPr>
          <w:t>n</w:t>
        </w:r>
        <w:r w:rsidRPr="007F6D83">
          <w:rPr>
            <w:rStyle w:val="Hypertextovprepojenie"/>
            <w:i/>
            <w:color w:val="0000FF"/>
            <w:sz w:val="18"/>
            <w:szCs w:val="18"/>
          </w:rPr>
          <w:t>ikáciu</w:t>
        </w:r>
        <w:r w:rsidRPr="007F6D83">
          <w:rPr>
            <w:rStyle w:val="Hypertextovprepojenie"/>
            <w:color w:val="0000FF"/>
            <w:sz w:val="18"/>
            <w:szCs w:val="18"/>
          </w:rPr>
          <w:t xml:space="preserve"> pre OP KŽP</w:t>
        </w:r>
      </w:hyperlink>
      <w:r w:rsidRPr="007F6D83">
        <w:rPr>
          <w:sz w:val="18"/>
          <w:szCs w:val="18"/>
        </w:rPr>
        <w:t>.</w:t>
      </w:r>
    </w:p>
  </w:footnote>
  <w:footnote w:id="9">
    <w:p w14:paraId="27932CD8" w14:textId="73ABCBBF" w:rsidR="00E915DF" w:rsidRPr="007F6D83" w:rsidRDefault="00E915DF" w:rsidP="008601F8">
      <w:pPr>
        <w:pStyle w:val="Textpoznmkypodiarou"/>
        <w:jc w:val="both"/>
        <w:rPr>
          <w:sz w:val="18"/>
          <w:szCs w:val="18"/>
        </w:rPr>
      </w:pPr>
      <w:r w:rsidRPr="007F6D83">
        <w:rPr>
          <w:rStyle w:val="Odkaznapoznmkupodiarou"/>
          <w:sz w:val="18"/>
          <w:szCs w:val="18"/>
        </w:rPr>
        <w:footnoteRef/>
      </w:r>
      <w:r w:rsidRPr="007F6D83">
        <w:rPr>
          <w:sz w:val="18"/>
          <w:szCs w:val="18"/>
        </w:rPr>
        <w:t xml:space="preserve"> Pre všetky </w:t>
      </w:r>
      <w:r w:rsidRPr="007F6D83">
        <w:rPr>
          <w:sz w:val="18"/>
          <w:szCs w:val="18"/>
          <w:u w:val="single"/>
        </w:rPr>
        <w:t>nepriame výdavky</w:t>
      </w:r>
      <w:r w:rsidRPr="007F6D83">
        <w:rPr>
          <w:sz w:val="18"/>
          <w:szCs w:val="18"/>
        </w:rPr>
        <w:t xml:space="preserve"> platí, že súhrnne nesmú prekročiť stanovený percentuálny limit pre nepriame výdavky, t.</w:t>
      </w:r>
      <w:r w:rsidR="008601F8">
        <w:rPr>
          <w:sz w:val="18"/>
          <w:szCs w:val="18"/>
        </w:rPr>
        <w:t xml:space="preserve"> </w:t>
      </w:r>
      <w:r w:rsidRPr="007F6D83">
        <w:rPr>
          <w:sz w:val="18"/>
          <w:szCs w:val="18"/>
        </w:rPr>
        <w:t>j. max. 3 % celkových oprávnených priamych výdavkov na projekt pri investičných projektoch, resp. 7 % pri neinvestičných projektoch (i</w:t>
      </w:r>
      <w:r w:rsidRPr="007F6D83">
        <w:rPr>
          <w:bCs/>
          <w:sz w:val="18"/>
          <w:szCs w:val="18"/>
        </w:rPr>
        <w:t xml:space="preserve">nvestičný projekt </w:t>
      </w:r>
      <w:r w:rsidRPr="007F6D83">
        <w:rPr>
          <w:sz w:val="18"/>
          <w:szCs w:val="18"/>
        </w:rPr>
        <w:t xml:space="preserve">- projekt zameraný predovšetkým na výstavbu a nákup nehnuteľností, technické zhodnotenie nehnuteľností, nákup strojov a technológií a pod., ktorého výsledkom je dlhodobý hmotný a/alebo nehmotný majetok </w:t>
      </w:r>
      <w:r w:rsidR="008601F8">
        <w:rPr>
          <w:sz w:val="18"/>
          <w:szCs w:val="18"/>
        </w:rPr>
        <w:t xml:space="preserve">                  </w:t>
      </w:r>
      <w:r w:rsidRPr="007F6D83">
        <w:rPr>
          <w:sz w:val="18"/>
          <w:szCs w:val="18"/>
        </w:rPr>
        <w:t xml:space="preserve">v zmysle zákona o účtovníctve a zákona o dani z príjmov, a v rámci ktorého výdavky na obstaranie dlhodobého hmotného </w:t>
      </w:r>
      <w:r w:rsidR="008601F8">
        <w:rPr>
          <w:sz w:val="18"/>
          <w:szCs w:val="18"/>
        </w:rPr>
        <w:t xml:space="preserve">              </w:t>
      </w:r>
      <w:r w:rsidRPr="007F6D83">
        <w:rPr>
          <w:sz w:val="18"/>
          <w:szCs w:val="18"/>
        </w:rPr>
        <w:t>a nehmotného majetku prekročia 40 % celkových oprávnených výdavkov na projekt).</w:t>
      </w:r>
    </w:p>
  </w:footnote>
  <w:footnote w:id="10">
    <w:p w14:paraId="3300DCA9" w14:textId="4A14F9D8" w:rsidR="00200157" w:rsidRPr="008601F8" w:rsidRDefault="00200157" w:rsidP="008601F8">
      <w:pPr>
        <w:pStyle w:val="Textpoznmkypodiarou"/>
        <w:jc w:val="both"/>
      </w:pPr>
      <w:r w:rsidRPr="008601F8">
        <w:rPr>
          <w:rStyle w:val="Odkaznapoznmkupodiarou"/>
        </w:rPr>
        <w:footnoteRef/>
      </w:r>
      <w:r w:rsidRPr="008601F8">
        <w:t xml:space="preserve"> </w:t>
      </w:r>
      <w:r w:rsidRPr="007F6D83">
        <w:rPr>
          <w:sz w:val="18"/>
          <w:szCs w:val="18"/>
        </w:rPr>
        <w:t xml:space="preserve">Základným oprávneným výdavkom v oblasti osobných výdavkov je </w:t>
      </w:r>
      <w:r w:rsidRPr="007F6D83">
        <w:rPr>
          <w:b/>
          <w:sz w:val="18"/>
          <w:szCs w:val="18"/>
        </w:rPr>
        <w:t>celková cena práce</w:t>
      </w:r>
      <w:r w:rsidRPr="007F6D83">
        <w:rPr>
          <w:sz w:val="18"/>
          <w:szCs w:val="18"/>
        </w:rPr>
        <w:t xml:space="preserve"> (t.</w:t>
      </w:r>
      <w:r w:rsidR="007F6D83">
        <w:rPr>
          <w:sz w:val="18"/>
          <w:szCs w:val="18"/>
        </w:rPr>
        <w:t xml:space="preserve"> </w:t>
      </w:r>
      <w:bookmarkStart w:id="0" w:name="_GoBack"/>
      <w:bookmarkEnd w:id="0"/>
      <w:r w:rsidRPr="007F6D83">
        <w:rPr>
          <w:sz w:val="18"/>
          <w:szCs w:val="18"/>
        </w:rPr>
        <w:t xml:space="preserve">j. hrubá mzda, resp. odmena </w:t>
      </w:r>
      <w:r w:rsidR="008601F8">
        <w:rPr>
          <w:sz w:val="18"/>
          <w:szCs w:val="18"/>
        </w:rPr>
        <w:t xml:space="preserve">           </w:t>
      </w:r>
      <w:r w:rsidRPr="007F6D83">
        <w:rPr>
          <w:sz w:val="18"/>
          <w:szCs w:val="18"/>
        </w:rPr>
        <w:t>za vykonanú prácu a zákonné odvody zamestnávateľa). Zložky mzdy ako odmeny (</w:t>
      </w:r>
      <w:r w:rsidRPr="007F6D83">
        <w:rPr>
          <w:sz w:val="18"/>
          <w:szCs w:val="18"/>
          <w:u w:val="single"/>
        </w:rPr>
        <w:t>okrem</w:t>
      </w:r>
      <w:r w:rsidRPr="007F6D83">
        <w:rPr>
          <w:sz w:val="18"/>
          <w:szCs w:val="18"/>
        </w:rPr>
        <w:t xml:space="preserve"> odmien poskytnutých zamestnancovi, ktorý pracuje iba na projekte/-och spolufinancovanom/-ých z EŠIF a ŠR SR), odstupné, odchodné, preplatenie dovolenky pri odchode a dovolenka nad rámec alikvotnej časti za odpracované dni na projekte patria medzi </w:t>
      </w:r>
      <w:r w:rsidRPr="007F6D83">
        <w:rPr>
          <w:sz w:val="18"/>
          <w:szCs w:val="18"/>
          <w:u w:val="single"/>
        </w:rPr>
        <w:t>neoprávnené</w:t>
      </w:r>
      <w:r w:rsidRPr="007F6D83">
        <w:rPr>
          <w:sz w:val="18"/>
          <w:szCs w:val="18"/>
        </w:rPr>
        <w:t xml:space="preserve">. Medzi </w:t>
      </w:r>
      <w:r w:rsidRPr="007F6D83">
        <w:rPr>
          <w:sz w:val="18"/>
          <w:szCs w:val="18"/>
          <w:u w:val="single"/>
        </w:rPr>
        <w:t>neoprávnené</w:t>
      </w:r>
      <w:r w:rsidRPr="007F6D83">
        <w:rPr>
          <w:sz w:val="18"/>
          <w:szCs w:val="18"/>
        </w:rPr>
        <w:t xml:space="preserve"> položky, ktoré netvoria súčasť hrubej mzdy, patria daňový bonus, príspevky zamestnávateľa zo sociálneho fondu a na doplnkové dôchodkové sporenie (DDS).</w:t>
      </w:r>
    </w:p>
  </w:footnote>
  <w:footnote w:id="11">
    <w:p w14:paraId="7070E686" w14:textId="068B1009" w:rsidR="00E915DF" w:rsidRDefault="00E915DF" w:rsidP="008601F8">
      <w:pPr>
        <w:pStyle w:val="Textpoznmkypodiarou"/>
        <w:jc w:val="both"/>
      </w:pPr>
      <w:r w:rsidRPr="008601F8">
        <w:rPr>
          <w:rStyle w:val="Odkaznapoznmkupodiarou"/>
        </w:rPr>
        <w:footnoteRef/>
      </w:r>
      <w:r w:rsidRPr="008601F8">
        <w:t xml:space="preserve"> </w:t>
      </w:r>
      <w:r w:rsidRPr="007F6D83">
        <w:rPr>
          <w:sz w:val="18"/>
          <w:szCs w:val="18"/>
        </w:rPr>
        <w:t>Zahŕňa finančné riadenie projektu, monitorovanie projektu (sledovanie čiastkových a celkových výsledkov projektu), činnosti súvisiace s administráciou zmien v projekte, resp. v zmluve o poskytnutí NFP, činnosti súvisiace so zabezpečením pre projekt relevantných nástrojov v oblasti informovania a komunikácie, činnosti podporného charakteru súvisiace s realizáciou verejných obstarávaní pre účely projektu a 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52AC6" w14:textId="101435ED" w:rsidR="005330B7" w:rsidRPr="008601F8" w:rsidRDefault="00C6070E" w:rsidP="004A4970">
    <w:pPr>
      <w:pStyle w:val="Hlavika"/>
      <w:rPr>
        <w:rFonts w:ascii="Times New Roman" w:hAnsi="Times New Roman" w:cs="Times New Roman"/>
        <w:i/>
      </w:rPr>
    </w:pPr>
    <w:r>
      <w:rPr>
        <w:i/>
      </w:rPr>
      <w:tab/>
    </w:r>
    <w:r w:rsidRPr="008601F8">
      <w:rPr>
        <w:rFonts w:ascii="Times New Roman" w:hAnsi="Times New Roman" w:cs="Times New Roman"/>
        <w:i/>
      </w:rPr>
      <w:t xml:space="preserve">                                   </w:t>
    </w:r>
    <w:r w:rsidR="004A4970" w:rsidRPr="008601F8">
      <w:rPr>
        <w:rFonts w:ascii="Times New Roman" w:hAnsi="Times New Roman" w:cs="Times New Roman"/>
        <w:i/>
      </w:rPr>
      <w:t xml:space="preserve">         </w:t>
    </w:r>
    <w:r w:rsidR="005330B7" w:rsidRPr="008601F8">
      <w:rPr>
        <w:rFonts w:ascii="Times New Roman" w:hAnsi="Times New Roman" w:cs="Times New Roman"/>
        <w:i/>
      </w:rPr>
      <w:t xml:space="preserve">Príloha č.6a </w:t>
    </w:r>
    <w:r w:rsidR="004A4970" w:rsidRPr="008601F8">
      <w:rPr>
        <w:rFonts w:ascii="Times New Roman" w:hAnsi="Times New Roman" w:cs="Times New Roman"/>
        <w:i/>
      </w:rPr>
      <w:t xml:space="preserve">k Výzve č. 27: </w:t>
    </w:r>
    <w:r w:rsidR="005330B7" w:rsidRPr="008601F8">
      <w:rPr>
        <w:rFonts w:ascii="Times New Roman" w:hAnsi="Times New Roman" w:cs="Times New Roman"/>
        <w:i/>
      </w:rPr>
      <w:t xml:space="preserve"> </w:t>
    </w:r>
    <w:r w:rsidRPr="008601F8">
      <w:rPr>
        <w:rFonts w:ascii="Times New Roman" w:hAnsi="Times New Roman" w:cs="Times New Roman"/>
        <w:i/>
      </w:rPr>
      <w:t>Osobitné podmienky oprávnenosti výdavkov</w:t>
    </w:r>
  </w:p>
  <w:p w14:paraId="19152AC7" w14:textId="77777777" w:rsidR="005330B7" w:rsidRDefault="005330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10894"/>
    <w:multiLevelType w:val="hybridMultilevel"/>
    <w:tmpl w:val="C6624C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D2D49"/>
    <w:multiLevelType w:val="hybridMultilevel"/>
    <w:tmpl w:val="F48AD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C14FD"/>
    <w:multiLevelType w:val="hybridMultilevel"/>
    <w:tmpl w:val="603EBF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F0928"/>
    <w:multiLevelType w:val="hybridMultilevel"/>
    <w:tmpl w:val="2AAA49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2D376C"/>
    <w:multiLevelType w:val="hybridMultilevel"/>
    <w:tmpl w:val="B86823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7B3B8C"/>
    <w:multiLevelType w:val="hybridMultilevel"/>
    <w:tmpl w:val="55AE4E1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2560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AD61A5"/>
    <w:rsid w:val="00086910"/>
    <w:rsid w:val="000A15E2"/>
    <w:rsid w:val="000A5157"/>
    <w:rsid w:val="000C1241"/>
    <w:rsid w:val="00113BA0"/>
    <w:rsid w:val="001164B3"/>
    <w:rsid w:val="001856A9"/>
    <w:rsid w:val="001B048B"/>
    <w:rsid w:val="001C25AE"/>
    <w:rsid w:val="001E6837"/>
    <w:rsid w:val="00200157"/>
    <w:rsid w:val="0020688E"/>
    <w:rsid w:val="002350E9"/>
    <w:rsid w:val="002355AB"/>
    <w:rsid w:val="00246F10"/>
    <w:rsid w:val="00283702"/>
    <w:rsid w:val="00284C28"/>
    <w:rsid w:val="002E2D9B"/>
    <w:rsid w:val="00336DBC"/>
    <w:rsid w:val="00337AE1"/>
    <w:rsid w:val="0035404E"/>
    <w:rsid w:val="00357883"/>
    <w:rsid w:val="003F4CCA"/>
    <w:rsid w:val="0043112F"/>
    <w:rsid w:val="00432591"/>
    <w:rsid w:val="0044184B"/>
    <w:rsid w:val="004554E1"/>
    <w:rsid w:val="00461710"/>
    <w:rsid w:val="004A4970"/>
    <w:rsid w:val="004E299F"/>
    <w:rsid w:val="00501644"/>
    <w:rsid w:val="005330B7"/>
    <w:rsid w:val="005544D3"/>
    <w:rsid w:val="00592DDA"/>
    <w:rsid w:val="005A5787"/>
    <w:rsid w:val="005B692E"/>
    <w:rsid w:val="005F2A9E"/>
    <w:rsid w:val="006A18E6"/>
    <w:rsid w:val="006C37DF"/>
    <w:rsid w:val="0071308D"/>
    <w:rsid w:val="00764886"/>
    <w:rsid w:val="0077759C"/>
    <w:rsid w:val="00791FE7"/>
    <w:rsid w:val="007B6BCA"/>
    <w:rsid w:val="007B753C"/>
    <w:rsid w:val="007E6C4D"/>
    <w:rsid w:val="007F6D83"/>
    <w:rsid w:val="008219DA"/>
    <w:rsid w:val="0083579E"/>
    <w:rsid w:val="008424AF"/>
    <w:rsid w:val="008601F8"/>
    <w:rsid w:val="00877581"/>
    <w:rsid w:val="008D1234"/>
    <w:rsid w:val="008F3630"/>
    <w:rsid w:val="0092688E"/>
    <w:rsid w:val="00955C33"/>
    <w:rsid w:val="00966911"/>
    <w:rsid w:val="009B6513"/>
    <w:rsid w:val="00A23368"/>
    <w:rsid w:val="00A80AEC"/>
    <w:rsid w:val="00AD61A5"/>
    <w:rsid w:val="00AD6742"/>
    <w:rsid w:val="00B02009"/>
    <w:rsid w:val="00B0447A"/>
    <w:rsid w:val="00B0708C"/>
    <w:rsid w:val="00B62765"/>
    <w:rsid w:val="00B62BAC"/>
    <w:rsid w:val="00B804D7"/>
    <w:rsid w:val="00BD3710"/>
    <w:rsid w:val="00BE3885"/>
    <w:rsid w:val="00C128B4"/>
    <w:rsid w:val="00C31918"/>
    <w:rsid w:val="00C6070E"/>
    <w:rsid w:val="00C76065"/>
    <w:rsid w:val="00C97246"/>
    <w:rsid w:val="00CA11B0"/>
    <w:rsid w:val="00D0766A"/>
    <w:rsid w:val="00D24700"/>
    <w:rsid w:val="00D2665B"/>
    <w:rsid w:val="00D27408"/>
    <w:rsid w:val="00D40001"/>
    <w:rsid w:val="00D66FF0"/>
    <w:rsid w:val="00DC7648"/>
    <w:rsid w:val="00DE7FC5"/>
    <w:rsid w:val="00E32FBC"/>
    <w:rsid w:val="00E47FBB"/>
    <w:rsid w:val="00E51B00"/>
    <w:rsid w:val="00E520AA"/>
    <w:rsid w:val="00E56182"/>
    <w:rsid w:val="00E915DF"/>
    <w:rsid w:val="00F14E4F"/>
    <w:rsid w:val="00F50AEE"/>
    <w:rsid w:val="00F72433"/>
    <w:rsid w:val="00F816E2"/>
    <w:rsid w:val="00F8294C"/>
    <w:rsid w:val="00FB1ABA"/>
    <w:rsid w:val="00FB48E1"/>
    <w:rsid w:val="00FE0211"/>
    <w:rsid w:val="00FF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152A70"/>
  <w15:docId w15:val="{96660A5E-CD74-4C23-98DA-39DC3CD3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6911"/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D12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D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D61A5"/>
  </w:style>
  <w:style w:type="paragraph" w:styleId="Pta">
    <w:name w:val="footer"/>
    <w:basedOn w:val="Normlny"/>
    <w:link w:val="PtaChar"/>
    <w:uiPriority w:val="99"/>
    <w:unhideWhenUsed/>
    <w:rsid w:val="00AD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D61A5"/>
  </w:style>
  <w:style w:type="paragraph" w:customStyle="1" w:styleId="MPCKO2">
    <w:name w:val="MP CKO 2"/>
    <w:basedOn w:val="Nadpis3"/>
    <w:qFormat/>
    <w:rsid w:val="008D1234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D12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8D1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8D123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symbol,Footnote,Stinking Styles1,Footnote reference number,Times 10 Point,Exposant 3 Point,Ref,de nota al pie,note TESI,SUPERS"/>
    <w:basedOn w:val="Predvolenpsmoodseku"/>
    <w:link w:val="Char2"/>
    <w:uiPriority w:val="99"/>
    <w:rsid w:val="008D1234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8D1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8D1234"/>
    <w:pPr>
      <w:spacing w:line="240" w:lineRule="exact"/>
    </w:pPr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8D12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21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19DA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19DA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219DA"/>
    <w:rPr>
      <w:color w:val="954F72" w:themeColor="followedHyperlink"/>
      <w:u w:val="single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D2740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001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1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1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1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157"/>
    <w:rPr>
      <w:b/>
      <w:bCs/>
      <w:sz w:val="20"/>
      <w:szCs w:val="20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E91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-kzp.sk/obsah-dokumenty/prirucka-k-opravnenosti-vydavkov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-kzp.sk/obsah-informovanost-komunikacia/333-2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3EA56-F04C-4E3E-98C0-744D4CE12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6AD2DC-1BBD-42B7-87A8-F89C052F8F83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A30C1E-2BDD-4B01-BA40-D702D83D17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89C9C7-F38D-4F8A-8DA4-B1217635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SR</dc:creator>
  <cp:keywords/>
  <dc:description/>
  <cp:lastModifiedBy>A1</cp:lastModifiedBy>
  <cp:revision>15</cp:revision>
  <dcterms:created xsi:type="dcterms:W3CDTF">2017-09-18T08:19:00Z</dcterms:created>
  <dcterms:modified xsi:type="dcterms:W3CDTF">2018-04-25T06:54:00Z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