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09218" w14:textId="332182F1" w:rsidR="00203DE7" w:rsidRDefault="00D82049" w:rsidP="00546547">
      <w:pPr>
        <w:ind w:left="3969"/>
        <w:rPr>
          <w:rFonts w:ascii="Arial Narrow" w:hAnsi="Arial Narrow"/>
          <w:szCs w:val="22"/>
        </w:rPr>
      </w:pPr>
      <w:bookmarkStart w:id="0" w:name="_GoBack"/>
      <w:bookmarkEnd w:id="0"/>
      <w:r>
        <w:rPr>
          <w:rFonts w:ascii="Arial Narrow" w:hAnsi="Arial Narrow"/>
          <w:szCs w:val="22"/>
        </w:rPr>
        <w:t xml:space="preserve"> </w:t>
      </w:r>
      <w:r w:rsidR="00546547">
        <w:rPr>
          <w:rFonts w:ascii="Arial Narrow" w:hAnsi="Arial Narrow"/>
          <w:szCs w:val="22"/>
        </w:rPr>
        <w:tab/>
      </w:r>
      <w:r w:rsidR="00546547">
        <w:rPr>
          <w:rFonts w:ascii="Arial Narrow" w:hAnsi="Arial Narrow"/>
          <w:szCs w:val="22"/>
        </w:rPr>
        <w:tab/>
      </w:r>
      <w:r w:rsidR="00546547">
        <w:rPr>
          <w:rFonts w:ascii="Arial Narrow" w:hAnsi="Arial Narrow"/>
          <w:szCs w:val="22"/>
        </w:rPr>
        <w:tab/>
      </w:r>
      <w:r w:rsidR="00546547">
        <w:rPr>
          <w:rFonts w:ascii="Arial Narrow" w:hAnsi="Arial Narrow"/>
          <w:szCs w:val="22"/>
        </w:rPr>
        <w:tab/>
      </w:r>
      <w:r w:rsidR="00546547">
        <w:rPr>
          <w:rFonts w:ascii="Arial Narrow" w:hAnsi="Arial Narrow"/>
          <w:szCs w:val="22"/>
        </w:rPr>
        <w:tab/>
        <w:t xml:space="preserve">                  </w:t>
      </w:r>
      <w:r w:rsidR="00121C22" w:rsidRPr="00121C22">
        <w:rPr>
          <w:rFonts w:ascii="Arial Narrow" w:hAnsi="Arial Narrow"/>
          <w:noProof/>
          <w:szCs w:val="22"/>
          <w:lang w:eastAsia="sk-SK"/>
        </w:rPr>
        <w:drawing>
          <wp:inline distT="0" distB="0" distL="0" distR="0" wp14:anchorId="63E90D5E" wp14:editId="1C778631">
            <wp:extent cx="6315075" cy="747628"/>
            <wp:effectExtent l="0" t="0" r="0" b="0"/>
            <wp:docPr id="1" name="Obrázok 1" descr="C:\Users\rusinko2725490\Desktop\Spracované dokumenty\Nove logotypy\subor logoty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inko2725490\Desktop\Spracované dokumenty\Nove logotypy\subor logotypov.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28458" cy="761051"/>
                    </a:xfrm>
                    <a:prstGeom prst="rect">
                      <a:avLst/>
                    </a:prstGeom>
                    <a:noFill/>
                    <a:ln>
                      <a:noFill/>
                    </a:ln>
                  </pic:spPr>
                </pic:pic>
              </a:graphicData>
            </a:graphic>
          </wp:inline>
        </w:drawing>
      </w:r>
    </w:p>
    <w:p w14:paraId="75709219" w14:textId="49984C5F" w:rsidR="00203DE7" w:rsidRDefault="00203DE7">
      <w:pPr>
        <w:rPr>
          <w:rFonts w:ascii="Arial Narrow" w:hAnsi="Arial Narrow"/>
          <w:szCs w:val="22"/>
        </w:rPr>
      </w:pPr>
    </w:p>
    <w:tbl>
      <w:tblPr>
        <w:tblStyle w:val="Mriekatabuky"/>
        <w:tblW w:w="14091" w:type="dxa"/>
        <w:jc w:val="center"/>
        <w:tblLook w:val="04A0" w:firstRow="1" w:lastRow="0" w:firstColumn="1" w:lastColumn="0" w:noHBand="0" w:noVBand="1"/>
      </w:tblPr>
      <w:tblGrid>
        <w:gridCol w:w="2689"/>
        <w:gridCol w:w="9838"/>
        <w:gridCol w:w="1564"/>
      </w:tblGrid>
      <w:tr w:rsidR="000A6236" w14:paraId="7570921E" w14:textId="77777777" w:rsidTr="00203DE7">
        <w:trPr>
          <w:jc w:val="center"/>
        </w:trPr>
        <w:tc>
          <w:tcPr>
            <w:tcW w:w="14091" w:type="dxa"/>
            <w:gridSpan w:val="3"/>
            <w:shd w:val="clear" w:color="auto" w:fill="669900"/>
          </w:tcPr>
          <w:p w14:paraId="7570921D" w14:textId="77777777" w:rsidR="000A6236" w:rsidRPr="00C13E67" w:rsidRDefault="00163A6B" w:rsidP="00C042DD">
            <w:pPr>
              <w:pStyle w:val="Odsekzoznamu"/>
              <w:ind w:left="34"/>
              <w:rPr>
                <w:b/>
                <w:sz w:val="28"/>
                <w:szCs w:val="28"/>
              </w:rPr>
            </w:pPr>
            <w:r w:rsidRPr="0080529D">
              <w:rPr>
                <w:b/>
                <w:color w:val="FFFFFF" w:themeColor="background1"/>
                <w:sz w:val="28"/>
                <w:szCs w:val="28"/>
              </w:rPr>
              <w:t xml:space="preserve">Zoznam </w:t>
            </w:r>
            <w:r w:rsidR="00C042DD">
              <w:rPr>
                <w:b/>
                <w:color w:val="FFFFFF" w:themeColor="background1"/>
                <w:sz w:val="28"/>
                <w:szCs w:val="28"/>
              </w:rPr>
              <w:t>iných údajov</w:t>
            </w:r>
          </w:p>
        </w:tc>
      </w:tr>
      <w:tr w:rsidR="00C042DD" w:rsidRPr="005354D8" w14:paraId="75709222" w14:textId="77777777" w:rsidTr="00203DE7">
        <w:trPr>
          <w:trHeight w:val="1524"/>
          <w:jc w:val="center"/>
        </w:trPr>
        <w:tc>
          <w:tcPr>
            <w:tcW w:w="14091" w:type="dxa"/>
            <w:gridSpan w:val="3"/>
            <w:shd w:val="clear" w:color="auto" w:fill="auto"/>
            <w:vAlign w:val="center"/>
          </w:tcPr>
          <w:p w14:paraId="7570921F" w14:textId="77777777" w:rsidR="00C042DD" w:rsidRPr="00B5088C" w:rsidRDefault="00C042DD" w:rsidP="006E5E22">
            <w:pPr>
              <w:spacing w:before="120" w:after="120"/>
              <w:jc w:val="both"/>
              <w:rPr>
                <w:b/>
                <w:color w:val="FF0000"/>
                <w:szCs w:val="22"/>
              </w:rPr>
            </w:pPr>
            <w:r w:rsidRPr="00B5088C">
              <w:rPr>
                <w:b/>
                <w:color w:val="FF0000"/>
                <w:szCs w:val="22"/>
              </w:rPr>
              <w:t xml:space="preserve">Upozornenie: </w:t>
            </w:r>
          </w:p>
          <w:p w14:paraId="75709220" w14:textId="77777777" w:rsidR="006E5E22" w:rsidRPr="00B5088C" w:rsidRDefault="006E5E22" w:rsidP="006E5E22">
            <w:pPr>
              <w:spacing w:before="120" w:after="120"/>
              <w:jc w:val="both"/>
              <w:rPr>
                <w:b/>
                <w:color w:val="FF0000"/>
                <w:szCs w:val="22"/>
              </w:rPr>
            </w:pPr>
            <w:r w:rsidRPr="00B5088C">
              <w:rPr>
                <w:b/>
                <w:bCs/>
                <w:color w:val="FF0000"/>
                <w:szCs w:val="22"/>
              </w:rPr>
              <w:t>Iné údaje poskytuje prijímateľ počas implementácie projektu. Žiadateľ pri vypĺňaní ŽoNFP nestanovuje cieľovú hodnotu a neuvádza ich ani do formulár</w:t>
            </w:r>
            <w:r w:rsidR="004051EC" w:rsidRPr="00B5088C">
              <w:rPr>
                <w:b/>
                <w:bCs/>
                <w:color w:val="FF0000"/>
                <w:szCs w:val="22"/>
              </w:rPr>
              <w:t>a</w:t>
            </w:r>
            <w:r w:rsidRPr="00B5088C">
              <w:rPr>
                <w:b/>
                <w:bCs/>
                <w:color w:val="FF0000"/>
                <w:szCs w:val="22"/>
              </w:rPr>
              <w:t xml:space="preserve"> ŽoNFP, ani do žiadnej z príloh. </w:t>
            </w:r>
          </w:p>
          <w:p w14:paraId="75709221" w14:textId="77777777" w:rsidR="00C042DD" w:rsidRPr="006E5E22" w:rsidRDefault="006E5E22" w:rsidP="006E5E22">
            <w:pPr>
              <w:spacing w:before="120" w:after="120"/>
              <w:jc w:val="both"/>
              <w:rPr>
                <w:b/>
                <w:color w:val="FF0000"/>
                <w:sz w:val="24"/>
                <w:szCs w:val="24"/>
              </w:rPr>
            </w:pPr>
            <w:r w:rsidRPr="00B5088C">
              <w:rPr>
                <w:b/>
                <w:bCs/>
                <w:color w:val="FF0000"/>
                <w:szCs w:val="22"/>
              </w:rPr>
              <w:t>V priebehu implementácie projektu môže byť rozsah požadovaných iných údajov upravený (rozšírený, resp. zúžený) a poskytovanie týchto údajov bude prebiehať v súlade s podmienkami dohodnutými v zmluve o poskytnutí NFP.</w:t>
            </w:r>
          </w:p>
        </w:tc>
      </w:tr>
      <w:tr w:rsidR="00C042DD" w:rsidRPr="001A1516" w14:paraId="75709226" w14:textId="77777777" w:rsidTr="00FB5EAA">
        <w:trPr>
          <w:jc w:val="center"/>
        </w:trPr>
        <w:tc>
          <w:tcPr>
            <w:tcW w:w="2689" w:type="dxa"/>
            <w:tcBorders>
              <w:bottom w:val="single" w:sz="4" w:space="0" w:color="auto"/>
            </w:tcBorders>
            <w:shd w:val="clear" w:color="auto" w:fill="C2D69B"/>
            <w:vAlign w:val="center"/>
          </w:tcPr>
          <w:p w14:paraId="75709223" w14:textId="77777777" w:rsidR="00C042DD" w:rsidRPr="0080529D" w:rsidRDefault="00C042DD" w:rsidP="00C042DD">
            <w:pPr>
              <w:autoSpaceDE w:val="0"/>
              <w:autoSpaceDN w:val="0"/>
              <w:adjustRightInd w:val="0"/>
              <w:jc w:val="center"/>
              <w:rPr>
                <w:b/>
              </w:rPr>
            </w:pPr>
            <w:r w:rsidRPr="0080529D">
              <w:rPr>
                <w:b/>
              </w:rPr>
              <w:t xml:space="preserve">Názov </w:t>
            </w:r>
            <w:r>
              <w:rPr>
                <w:b/>
              </w:rPr>
              <w:t>iného údaj</w:t>
            </w:r>
            <w:r w:rsidR="004051EC">
              <w:rPr>
                <w:b/>
              </w:rPr>
              <w:t>a</w:t>
            </w:r>
          </w:p>
        </w:tc>
        <w:tc>
          <w:tcPr>
            <w:tcW w:w="9838" w:type="dxa"/>
            <w:tcBorders>
              <w:bottom w:val="single" w:sz="4" w:space="0" w:color="auto"/>
            </w:tcBorders>
            <w:shd w:val="clear" w:color="auto" w:fill="C2D69B"/>
            <w:vAlign w:val="center"/>
          </w:tcPr>
          <w:p w14:paraId="75709224" w14:textId="77777777" w:rsidR="00C042DD" w:rsidRPr="0080529D" w:rsidRDefault="00C042DD" w:rsidP="00C042DD">
            <w:pPr>
              <w:autoSpaceDE w:val="0"/>
              <w:autoSpaceDN w:val="0"/>
              <w:adjustRightInd w:val="0"/>
              <w:spacing w:before="120" w:after="120"/>
              <w:jc w:val="center"/>
              <w:rPr>
                <w:b/>
              </w:rPr>
            </w:pPr>
            <w:r w:rsidRPr="0080529D">
              <w:rPr>
                <w:b/>
              </w:rPr>
              <w:t>Definícia</w:t>
            </w:r>
          </w:p>
        </w:tc>
        <w:tc>
          <w:tcPr>
            <w:tcW w:w="1564" w:type="dxa"/>
            <w:tcBorders>
              <w:bottom w:val="single" w:sz="4" w:space="0" w:color="auto"/>
            </w:tcBorders>
            <w:shd w:val="clear" w:color="auto" w:fill="C2D69B"/>
            <w:vAlign w:val="center"/>
          </w:tcPr>
          <w:p w14:paraId="75709225" w14:textId="77777777" w:rsidR="00C042DD" w:rsidRPr="0080529D" w:rsidRDefault="00C042DD" w:rsidP="00C042DD">
            <w:pPr>
              <w:autoSpaceDE w:val="0"/>
              <w:autoSpaceDN w:val="0"/>
              <w:adjustRightInd w:val="0"/>
              <w:spacing w:before="120" w:after="120"/>
              <w:jc w:val="center"/>
              <w:rPr>
                <w:b/>
              </w:rPr>
            </w:pPr>
            <w:r w:rsidRPr="0080529D">
              <w:rPr>
                <w:b/>
              </w:rPr>
              <w:t>Merná jednotka</w:t>
            </w:r>
          </w:p>
        </w:tc>
      </w:tr>
      <w:tr w:rsidR="00422605" w:rsidRPr="006E5E22" w14:paraId="7570922E" w14:textId="77777777" w:rsidTr="00FB5EAA">
        <w:trPr>
          <w:jc w:val="center"/>
        </w:trPr>
        <w:tc>
          <w:tcPr>
            <w:tcW w:w="2689" w:type="dxa"/>
          </w:tcPr>
          <w:p w14:paraId="7570922B" w14:textId="42A09FF9" w:rsidR="00422605" w:rsidRPr="00B5088C" w:rsidRDefault="00422605" w:rsidP="00422605">
            <w:pPr>
              <w:rPr>
                <w:szCs w:val="22"/>
              </w:rPr>
            </w:pPr>
            <w:r w:rsidRPr="00B5088C">
              <w:rPr>
                <w:szCs w:val="22"/>
              </w:rPr>
              <w:t>Počet subjektov miestnej samosprávy, neziskového a podnikateľského sektora zapojených do projektu</w:t>
            </w:r>
          </w:p>
        </w:tc>
        <w:tc>
          <w:tcPr>
            <w:tcW w:w="9838" w:type="dxa"/>
          </w:tcPr>
          <w:p w14:paraId="7570922C" w14:textId="2725F192" w:rsidR="00422605" w:rsidRPr="00B5088C" w:rsidRDefault="00422605" w:rsidP="00422605">
            <w:pPr>
              <w:jc w:val="both"/>
              <w:rPr>
                <w:szCs w:val="22"/>
              </w:rPr>
            </w:pPr>
            <w:r w:rsidRPr="00B5088C">
              <w:rPr>
                <w:szCs w:val="22"/>
              </w:rPr>
              <w:t>Celkový počet subjektov miestnej samosprávy, neziskového a podnikateľského sektora zapojených do projektu.</w:t>
            </w:r>
          </w:p>
        </w:tc>
        <w:tc>
          <w:tcPr>
            <w:tcW w:w="1564" w:type="dxa"/>
            <w:shd w:val="clear" w:color="auto" w:fill="FFFFFF" w:themeFill="background1"/>
            <w:vAlign w:val="center"/>
          </w:tcPr>
          <w:p w14:paraId="7570922D" w14:textId="75B126E8" w:rsidR="00422605" w:rsidRPr="00B5088C" w:rsidRDefault="00422605" w:rsidP="00422605">
            <w:pPr>
              <w:autoSpaceDE w:val="0"/>
              <w:autoSpaceDN w:val="0"/>
              <w:adjustRightInd w:val="0"/>
              <w:spacing w:before="120" w:after="120"/>
              <w:jc w:val="center"/>
              <w:rPr>
                <w:szCs w:val="22"/>
              </w:rPr>
            </w:pPr>
            <w:r w:rsidRPr="00B5088C">
              <w:rPr>
                <w:szCs w:val="22"/>
              </w:rPr>
              <w:t>Počet</w:t>
            </w:r>
          </w:p>
        </w:tc>
      </w:tr>
      <w:tr w:rsidR="0089274D" w:rsidRPr="006E5E22" w14:paraId="77E2B2B6" w14:textId="77777777" w:rsidTr="00FB5EAA">
        <w:trPr>
          <w:jc w:val="center"/>
        </w:trPr>
        <w:tc>
          <w:tcPr>
            <w:tcW w:w="2689" w:type="dxa"/>
          </w:tcPr>
          <w:p w14:paraId="1C575DA0" w14:textId="68CC9B04" w:rsidR="0089274D" w:rsidRPr="00B5088C" w:rsidRDefault="00D00ECE" w:rsidP="00422605">
            <w:pPr>
              <w:rPr>
                <w:szCs w:val="22"/>
              </w:rPr>
            </w:pPr>
            <w:r>
              <w:t>Počet nástrojov zabezpečujúcich prístupnosť pre osoby so zdravotným postihnutím</w:t>
            </w:r>
          </w:p>
        </w:tc>
        <w:tc>
          <w:tcPr>
            <w:tcW w:w="9838" w:type="dxa"/>
          </w:tcPr>
          <w:p w14:paraId="08C1AC34" w14:textId="77777777" w:rsidR="005E1843" w:rsidRPr="005E1843" w:rsidRDefault="005E1843" w:rsidP="005E1843">
            <w:pPr>
              <w:jc w:val="both"/>
              <w:rPr>
                <w:szCs w:val="22"/>
              </w:rPr>
            </w:pPr>
            <w:r w:rsidRPr="005E1843">
              <w:rPr>
                <w:szCs w:val="22"/>
              </w:rPr>
              <w:t>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w:t>
            </w:r>
          </w:p>
          <w:p w14:paraId="5EAF7CD1" w14:textId="08F7F640" w:rsidR="0089274D" w:rsidRDefault="005E1843" w:rsidP="005E1843">
            <w:pPr>
              <w:jc w:val="both"/>
              <w:rPr>
                <w:szCs w:val="22"/>
              </w:rPr>
            </w:pPr>
            <w:r w:rsidRPr="005E1843">
              <w:rPr>
                <w:szCs w:val="22"/>
              </w:rPr>
              <w:t xml:space="preserve">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w:t>
            </w:r>
            <w:r w:rsidRPr="005E1843">
              <w:rPr>
                <w:szCs w:val="22"/>
              </w:rPr>
              <w:lastRenderedPageBreak/>
              <w:t>alebo v zákone č. 461/2003 Z. z. o sociálnom poistení (osoba, ktorá má zníženú mieru schopnosti vykonávať zárobkovú činnosť).</w:t>
            </w:r>
          </w:p>
        </w:tc>
        <w:tc>
          <w:tcPr>
            <w:tcW w:w="1564" w:type="dxa"/>
            <w:shd w:val="clear" w:color="auto" w:fill="FFFFFF" w:themeFill="background1"/>
            <w:vAlign w:val="center"/>
          </w:tcPr>
          <w:p w14:paraId="0D5458E3" w14:textId="2BAEA0EF" w:rsidR="0089274D" w:rsidRPr="00B5088C" w:rsidRDefault="005E1843" w:rsidP="00422605">
            <w:pPr>
              <w:autoSpaceDE w:val="0"/>
              <w:autoSpaceDN w:val="0"/>
              <w:adjustRightInd w:val="0"/>
              <w:spacing w:before="120" w:after="120"/>
              <w:jc w:val="center"/>
              <w:rPr>
                <w:szCs w:val="22"/>
              </w:rPr>
            </w:pPr>
            <w:r>
              <w:rPr>
                <w:szCs w:val="22"/>
              </w:rPr>
              <w:lastRenderedPageBreak/>
              <w:t>Počet</w:t>
            </w:r>
          </w:p>
        </w:tc>
      </w:tr>
      <w:tr w:rsidR="00D00ECE" w:rsidRPr="006E5E22" w14:paraId="0DBDE837" w14:textId="77777777" w:rsidTr="00FB5EAA">
        <w:trPr>
          <w:jc w:val="center"/>
        </w:trPr>
        <w:tc>
          <w:tcPr>
            <w:tcW w:w="2689" w:type="dxa"/>
          </w:tcPr>
          <w:p w14:paraId="38966EA0" w14:textId="574A0D81" w:rsidR="00D00ECE" w:rsidRPr="00B5088C" w:rsidRDefault="00D00ECE" w:rsidP="00422605">
            <w:pPr>
              <w:rPr>
                <w:szCs w:val="22"/>
              </w:rPr>
            </w:pPr>
            <w:r>
              <w:rPr>
                <w:color w:val="000000"/>
                <w:lang w:eastAsia="sk-SK"/>
              </w:rPr>
              <w:lastRenderedPageBreak/>
              <w:t>Počet pracovníkov, pracovníčok refundovaných z projektu mimo technickej pomoci OP/OP TP</w:t>
            </w:r>
          </w:p>
        </w:tc>
        <w:tc>
          <w:tcPr>
            <w:tcW w:w="9838" w:type="dxa"/>
          </w:tcPr>
          <w:p w14:paraId="7E1EC384" w14:textId="392C9259" w:rsidR="00D00ECE" w:rsidRDefault="005E1843" w:rsidP="00422605">
            <w:pPr>
              <w:jc w:val="both"/>
              <w:rPr>
                <w:szCs w:val="22"/>
              </w:rPr>
            </w:pPr>
            <w:r w:rsidRPr="005E1843">
              <w:rPr>
                <w:szCs w:val="22"/>
              </w:rPr>
              <w:t>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tc>
        <w:tc>
          <w:tcPr>
            <w:tcW w:w="1564" w:type="dxa"/>
            <w:shd w:val="clear" w:color="auto" w:fill="FFFFFF" w:themeFill="background1"/>
            <w:vAlign w:val="center"/>
          </w:tcPr>
          <w:p w14:paraId="7D3FA585" w14:textId="7DF72AA8" w:rsidR="00D00ECE" w:rsidRPr="00B5088C" w:rsidRDefault="005E1843" w:rsidP="00422605">
            <w:pPr>
              <w:autoSpaceDE w:val="0"/>
              <w:autoSpaceDN w:val="0"/>
              <w:adjustRightInd w:val="0"/>
              <w:spacing w:before="120" w:after="120"/>
              <w:jc w:val="center"/>
              <w:rPr>
                <w:szCs w:val="22"/>
              </w:rPr>
            </w:pPr>
            <w:r>
              <w:rPr>
                <w:szCs w:val="22"/>
              </w:rPr>
              <w:t>FTE</w:t>
            </w:r>
          </w:p>
        </w:tc>
      </w:tr>
      <w:tr w:rsidR="00422605" w:rsidRPr="006E5E22" w14:paraId="1866B8EF" w14:textId="77777777" w:rsidTr="00FB5EAA">
        <w:trPr>
          <w:jc w:val="center"/>
        </w:trPr>
        <w:tc>
          <w:tcPr>
            <w:tcW w:w="2689" w:type="dxa"/>
          </w:tcPr>
          <w:p w14:paraId="0FBB790C" w14:textId="22A168CD" w:rsidR="00422605" w:rsidRPr="00B5088C" w:rsidRDefault="00422605" w:rsidP="00422605">
            <w:pPr>
              <w:rPr>
                <w:szCs w:val="22"/>
              </w:rPr>
            </w:pPr>
            <w:r w:rsidRPr="00B5088C">
              <w:rPr>
                <w:szCs w:val="22"/>
              </w:rPr>
              <w:t>Počet pracovníkov, pracovníčok so zdravotným postihnutím refundovaných z projektu mimo technickej pomoci OP/OP TP</w:t>
            </w:r>
          </w:p>
        </w:tc>
        <w:tc>
          <w:tcPr>
            <w:tcW w:w="9838" w:type="dxa"/>
          </w:tcPr>
          <w:p w14:paraId="261F7630" w14:textId="1A2033E7" w:rsidR="00422605" w:rsidRPr="00B5088C" w:rsidRDefault="00422605" w:rsidP="00422605">
            <w:pPr>
              <w:jc w:val="both"/>
              <w:rPr>
                <w:szCs w:val="22"/>
              </w:rPr>
            </w:pPr>
            <w:r w:rsidRPr="00B5088C">
              <w:rPr>
                <w:szCs w:val="22"/>
              </w:rPr>
              <w:t xml:space="preserve">Údaj vyjadruje priemerný ročný počet pracovníkov, pracovníčok so zdravotným postihnutím, ktorých mzdy sú plne alebo čiastočne refundované v rámci daného projektu,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w:t>
            </w:r>
            <w:r w:rsidR="0089274D">
              <w:rPr>
                <w:szCs w:val="22"/>
              </w:rPr>
              <w:t xml:space="preserve">                         </w:t>
            </w:r>
            <w:r w:rsidRPr="00B5088C">
              <w:rPr>
                <w:szCs w:val="22"/>
              </w:rPr>
              <w:t>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tc>
        <w:tc>
          <w:tcPr>
            <w:tcW w:w="1564" w:type="dxa"/>
            <w:shd w:val="clear" w:color="auto" w:fill="FFFFFF" w:themeFill="background1"/>
            <w:vAlign w:val="center"/>
          </w:tcPr>
          <w:p w14:paraId="2005C517" w14:textId="702064BC" w:rsidR="00422605" w:rsidRPr="00B5088C" w:rsidRDefault="00422605" w:rsidP="00422605">
            <w:pPr>
              <w:autoSpaceDE w:val="0"/>
              <w:autoSpaceDN w:val="0"/>
              <w:adjustRightInd w:val="0"/>
              <w:spacing w:before="120" w:after="120"/>
              <w:jc w:val="center"/>
              <w:rPr>
                <w:szCs w:val="22"/>
              </w:rPr>
            </w:pPr>
            <w:r w:rsidRPr="00B5088C">
              <w:rPr>
                <w:szCs w:val="22"/>
              </w:rPr>
              <w:t>FTE</w:t>
            </w:r>
          </w:p>
        </w:tc>
      </w:tr>
      <w:tr w:rsidR="00422605" w:rsidRPr="006E5E22" w14:paraId="447416AC" w14:textId="77777777" w:rsidTr="00FB5EAA">
        <w:trPr>
          <w:jc w:val="center"/>
        </w:trPr>
        <w:tc>
          <w:tcPr>
            <w:tcW w:w="2689" w:type="dxa"/>
          </w:tcPr>
          <w:p w14:paraId="41B3445C" w14:textId="24039724" w:rsidR="00422605" w:rsidRPr="00B5088C" w:rsidRDefault="00422605" w:rsidP="00422605">
            <w:pPr>
              <w:rPr>
                <w:szCs w:val="22"/>
              </w:rPr>
            </w:pPr>
            <w:r w:rsidRPr="00B5088C">
              <w:rPr>
                <w:szCs w:val="22"/>
              </w:rPr>
              <w:t>Počet pracovníkov, pracovníčok mladších ako 25 rokov veku refundovaných z projektu mimo technickej pomoci OP/OP TP</w:t>
            </w:r>
          </w:p>
        </w:tc>
        <w:tc>
          <w:tcPr>
            <w:tcW w:w="9838" w:type="dxa"/>
          </w:tcPr>
          <w:p w14:paraId="758D5D98" w14:textId="002B303B" w:rsidR="00422605" w:rsidRPr="00B5088C" w:rsidRDefault="00422605" w:rsidP="00422605">
            <w:pPr>
              <w:jc w:val="both"/>
              <w:rPr>
                <w:szCs w:val="22"/>
              </w:rPr>
            </w:pPr>
            <w:r w:rsidRPr="00B5088C">
              <w:rPr>
                <w:szCs w:val="22"/>
              </w:rPr>
              <w:t xml:space="preserve">Údaj vyjadruje priemerný ročný počet pracovníkov, pracovníčok mladších ako 25 rokov veku,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w:t>
            </w:r>
            <w:r w:rsidR="0089274D">
              <w:rPr>
                <w:szCs w:val="22"/>
              </w:rPr>
              <w:t xml:space="preserve">                        </w:t>
            </w:r>
            <w:r w:rsidRPr="00B5088C">
              <w:rPr>
                <w:szCs w:val="22"/>
              </w:rPr>
              <w:t>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15524342" w14:textId="774D7502" w:rsidR="00422605" w:rsidRPr="00B5088C" w:rsidRDefault="00422605" w:rsidP="00422605">
            <w:pPr>
              <w:jc w:val="both"/>
              <w:rPr>
                <w:szCs w:val="22"/>
              </w:rPr>
            </w:pPr>
            <w:r w:rsidRPr="00B5088C">
              <w:rPr>
                <w:szCs w:val="22"/>
              </w:rPr>
              <w:t>Osoba mladšia ako 25 rokov veku je osoba ktorá v deň vstupu do aktivity dosiahla vek maximálne 25 rokov mínus 1 deň (platí pre ESF/IZM); osoba, ktorá v deň začiatku realizácie aktivít projektu dosiahla vek maximálne 25 rokov mínus 1 deň (platí pre EFRR/KF).</w:t>
            </w:r>
          </w:p>
        </w:tc>
        <w:tc>
          <w:tcPr>
            <w:tcW w:w="1564" w:type="dxa"/>
            <w:shd w:val="clear" w:color="auto" w:fill="FFFFFF" w:themeFill="background1"/>
            <w:vAlign w:val="center"/>
          </w:tcPr>
          <w:p w14:paraId="0FEAF98C" w14:textId="516D4681" w:rsidR="00422605" w:rsidRDefault="00422605" w:rsidP="00422605">
            <w:pPr>
              <w:autoSpaceDE w:val="0"/>
              <w:autoSpaceDN w:val="0"/>
              <w:adjustRightInd w:val="0"/>
              <w:spacing w:before="120" w:after="120"/>
              <w:jc w:val="center"/>
              <w:rPr>
                <w:sz w:val="24"/>
                <w:szCs w:val="24"/>
              </w:rPr>
            </w:pPr>
            <w:r>
              <w:rPr>
                <w:sz w:val="24"/>
                <w:szCs w:val="24"/>
              </w:rPr>
              <w:t>FTE</w:t>
            </w:r>
          </w:p>
        </w:tc>
      </w:tr>
      <w:tr w:rsidR="00422605" w:rsidRPr="006E5E22" w14:paraId="2498FEFE" w14:textId="77777777" w:rsidTr="00FB5EAA">
        <w:trPr>
          <w:jc w:val="center"/>
        </w:trPr>
        <w:tc>
          <w:tcPr>
            <w:tcW w:w="2689" w:type="dxa"/>
          </w:tcPr>
          <w:p w14:paraId="66D7572E" w14:textId="78852C3F" w:rsidR="00422605" w:rsidRPr="00B5088C" w:rsidRDefault="00422605" w:rsidP="00422605">
            <w:pPr>
              <w:rPr>
                <w:szCs w:val="22"/>
              </w:rPr>
            </w:pPr>
            <w:r w:rsidRPr="00B5088C">
              <w:rPr>
                <w:szCs w:val="22"/>
              </w:rPr>
              <w:t>Počet pracovníkov, pracovníčok starších ako 54 rokov veku refundovaných z projektu mimo technickej pomoci OP/OP TP</w:t>
            </w:r>
          </w:p>
        </w:tc>
        <w:tc>
          <w:tcPr>
            <w:tcW w:w="9838" w:type="dxa"/>
          </w:tcPr>
          <w:p w14:paraId="79514F97" w14:textId="5E816CD6" w:rsidR="00422605" w:rsidRPr="00B5088C" w:rsidRDefault="00422605" w:rsidP="00422605">
            <w:pPr>
              <w:jc w:val="both"/>
              <w:rPr>
                <w:szCs w:val="22"/>
              </w:rPr>
            </w:pPr>
            <w:r w:rsidRPr="00B5088C">
              <w:rPr>
                <w:szCs w:val="22"/>
              </w:rPr>
              <w:t xml:space="preserve">Údaj vyjadruje priemerný ročný počet pracovníkov, pracovníčok starších ako 54 rokov veku,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účtovníčka, účtovník a pod.) ako aj osoby, ktoré vykonávajú odbornú prácu (napr. terénni sociálni pracovníci, terénne sociálne pracovníčky a pod.). Započítavajú sa osoby, ktoré sú </w:t>
            </w:r>
            <w:r w:rsidR="0089274D">
              <w:rPr>
                <w:szCs w:val="22"/>
              </w:rPr>
              <w:t xml:space="preserve">                        </w:t>
            </w:r>
            <w:r w:rsidRPr="00B5088C">
              <w:rPr>
                <w:szCs w:val="22"/>
              </w:rPr>
              <w:lastRenderedPageBreak/>
              <w:t>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6E386922" w14:textId="3F6741A0" w:rsidR="00422605" w:rsidRPr="00B5088C" w:rsidRDefault="00422605" w:rsidP="00422605">
            <w:pPr>
              <w:jc w:val="both"/>
              <w:rPr>
                <w:szCs w:val="22"/>
              </w:rPr>
            </w:pPr>
            <w:r w:rsidRPr="00B5088C">
              <w:rPr>
                <w:szCs w:val="22"/>
              </w:rPr>
              <w:t>Osoba staršia ako 54 rokov veku je osoba, ktorá najneskôr v deň vstupu do aktivity dosiahla vek 54 rokov alebo vyšší (platí pre ESF/IZM); osoba, ktorá najneskôr v čase začiatku realizácie aktivít projektu dosiahla vek 54 rokov alebo vyšší (platí pre EFRR/KF).</w:t>
            </w:r>
          </w:p>
        </w:tc>
        <w:tc>
          <w:tcPr>
            <w:tcW w:w="1564" w:type="dxa"/>
            <w:shd w:val="clear" w:color="auto" w:fill="FFFFFF" w:themeFill="background1"/>
            <w:vAlign w:val="center"/>
          </w:tcPr>
          <w:p w14:paraId="05262D00" w14:textId="718EBE6A" w:rsidR="00422605" w:rsidRDefault="00422605" w:rsidP="00422605">
            <w:pPr>
              <w:autoSpaceDE w:val="0"/>
              <w:autoSpaceDN w:val="0"/>
              <w:adjustRightInd w:val="0"/>
              <w:spacing w:before="120" w:after="120"/>
              <w:jc w:val="center"/>
              <w:rPr>
                <w:sz w:val="24"/>
                <w:szCs w:val="24"/>
              </w:rPr>
            </w:pPr>
            <w:r>
              <w:rPr>
                <w:sz w:val="24"/>
                <w:szCs w:val="24"/>
              </w:rPr>
              <w:lastRenderedPageBreak/>
              <w:t>FTE</w:t>
            </w:r>
          </w:p>
        </w:tc>
      </w:tr>
      <w:tr w:rsidR="00422605" w:rsidRPr="006E5E22" w14:paraId="6172A2A7" w14:textId="77777777" w:rsidTr="00FB5EAA">
        <w:trPr>
          <w:jc w:val="center"/>
        </w:trPr>
        <w:tc>
          <w:tcPr>
            <w:tcW w:w="2689" w:type="dxa"/>
          </w:tcPr>
          <w:p w14:paraId="720B1A0A" w14:textId="57513725" w:rsidR="00422605" w:rsidRPr="00B5088C" w:rsidRDefault="00422605" w:rsidP="00422605">
            <w:pPr>
              <w:rPr>
                <w:szCs w:val="22"/>
              </w:rPr>
            </w:pPr>
            <w:r w:rsidRPr="00B5088C">
              <w:rPr>
                <w:szCs w:val="22"/>
              </w:rPr>
              <w:lastRenderedPageBreak/>
              <w:t>Počet pracovníkov, pracovníčok patriacich k etnickej, národnostnej, rasovej menšine refundovaných z projektu mimo technickej pomoci OP/OP TP</w:t>
            </w:r>
          </w:p>
        </w:tc>
        <w:tc>
          <w:tcPr>
            <w:tcW w:w="9838" w:type="dxa"/>
          </w:tcPr>
          <w:p w14:paraId="27636CC3" w14:textId="1BDD5571" w:rsidR="00422605" w:rsidRPr="00B5088C" w:rsidRDefault="00422605" w:rsidP="00422605">
            <w:pPr>
              <w:jc w:val="both"/>
              <w:rPr>
                <w:szCs w:val="22"/>
              </w:rPr>
            </w:pPr>
            <w:r w:rsidRPr="00B5088C">
              <w:rPr>
                <w:szCs w:val="22"/>
              </w:rPr>
              <w:t xml:space="preserve">Údaj vyjadruje priemerný ročný počet pracovníkov, pracovníčok,  ktorí sa hlásia k etnickej, národnostnej, rasovej menšine, ktorých mzdy sú plne, alebo čiastočne refundované v rámci daného projektu a prepočítaný na ekvivalent plného pracovného úväzku (FTE). Údaj zachytáva jednak osoby, ktoré sa podieľajú na riadení </w:t>
            </w:r>
            <w:r w:rsidR="0089274D">
              <w:rPr>
                <w:szCs w:val="22"/>
              </w:rPr>
              <w:t xml:space="preserve">     </w:t>
            </w:r>
            <w:r w:rsidRPr="00B5088C">
              <w:rPr>
                <w:szCs w:val="22"/>
              </w:rPr>
              <w:t>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2EF2DE21" w14:textId="2C504CF5" w:rsidR="00422605" w:rsidRPr="00B5088C" w:rsidRDefault="00422605" w:rsidP="00422605">
            <w:pPr>
              <w:jc w:val="both"/>
              <w:rPr>
                <w:szCs w:val="22"/>
              </w:rPr>
            </w:pPr>
            <w:r w:rsidRPr="00B5088C">
              <w:rPr>
                <w:szCs w:val="22"/>
              </w:rPr>
              <w:t>Príslušnosť k etnickej, národnostnej alebo rasovej menšine osoba preukazuje prostredníctvom formálne zaznamenanej sebadeklarácie.</w:t>
            </w:r>
          </w:p>
        </w:tc>
        <w:tc>
          <w:tcPr>
            <w:tcW w:w="1564" w:type="dxa"/>
            <w:shd w:val="clear" w:color="auto" w:fill="FFFFFF" w:themeFill="background1"/>
            <w:vAlign w:val="center"/>
          </w:tcPr>
          <w:p w14:paraId="3640726D" w14:textId="1FA5295C" w:rsidR="00422605" w:rsidRDefault="00422605" w:rsidP="00422605">
            <w:pPr>
              <w:autoSpaceDE w:val="0"/>
              <w:autoSpaceDN w:val="0"/>
              <w:adjustRightInd w:val="0"/>
              <w:spacing w:before="120" w:after="120"/>
              <w:jc w:val="center"/>
              <w:rPr>
                <w:sz w:val="24"/>
                <w:szCs w:val="24"/>
              </w:rPr>
            </w:pPr>
            <w:r>
              <w:rPr>
                <w:sz w:val="24"/>
                <w:szCs w:val="24"/>
              </w:rPr>
              <w:t>FTE</w:t>
            </w:r>
          </w:p>
        </w:tc>
      </w:tr>
      <w:tr w:rsidR="00D00ECE" w:rsidRPr="006E5E22" w14:paraId="1ABACA2F" w14:textId="77777777" w:rsidTr="00FB5EAA">
        <w:trPr>
          <w:jc w:val="center"/>
        </w:trPr>
        <w:tc>
          <w:tcPr>
            <w:tcW w:w="2689" w:type="dxa"/>
          </w:tcPr>
          <w:p w14:paraId="5B01D2A5" w14:textId="19033123" w:rsidR="00D00ECE" w:rsidRPr="00B5088C" w:rsidRDefault="00D00ECE" w:rsidP="00422605">
            <w:pPr>
              <w:rPr>
                <w:szCs w:val="22"/>
              </w:rPr>
            </w:pPr>
            <w:r>
              <w:t>Podiel žien na riadiacich pozíciách projektu</w:t>
            </w:r>
          </w:p>
        </w:tc>
        <w:tc>
          <w:tcPr>
            <w:tcW w:w="9838" w:type="dxa"/>
          </w:tcPr>
          <w:p w14:paraId="09376E78" w14:textId="77777777" w:rsidR="005E1843" w:rsidRPr="005E1843" w:rsidRDefault="005E1843" w:rsidP="005E1843">
            <w:pPr>
              <w:jc w:val="both"/>
              <w:rPr>
                <w:szCs w:val="22"/>
              </w:rPr>
            </w:pPr>
            <w:r w:rsidRPr="005E1843">
              <w:rPr>
                <w:szCs w:val="22"/>
              </w:rPr>
              <w:t xml:space="preserve">Údaj vyjadruje počet druhov opatrení na zosúladenie osobného a pracovného života zrealizovaných prijímateľom a partnermi projektu počas jeho trvania (polovičný úväzok pre 3 matky s malými deťmi sa počíta ako 1 druh opatrenia). Opatrenia na zosúlaďovanie osobného, rodinného a pracovného života pracovníkov/pracovníčok spočívajú v opatreniach v oblasti organizácie práce a vo vytváraní podmienok výkonu práce za týmto účelom: </w:t>
            </w:r>
          </w:p>
          <w:p w14:paraId="2E95B8ED" w14:textId="77777777" w:rsidR="005E1843" w:rsidRPr="005E1843" w:rsidRDefault="005E1843" w:rsidP="005E1843">
            <w:pPr>
              <w:jc w:val="both"/>
              <w:rPr>
                <w:szCs w:val="22"/>
              </w:rPr>
            </w:pPr>
            <w:r w:rsidRPr="005E1843">
              <w:rPr>
                <w:szCs w:val="22"/>
              </w:rPr>
              <w:t xml:space="preserve">- Flexibilita v pracovnom prostredí, flexibilné formy zamestnávania a flexibilné formy práce. </w:t>
            </w:r>
          </w:p>
          <w:p w14:paraId="40E432F1" w14:textId="77777777" w:rsidR="005E1843" w:rsidRPr="005E1843" w:rsidRDefault="005E1843" w:rsidP="005E1843">
            <w:pPr>
              <w:jc w:val="both"/>
              <w:rPr>
                <w:szCs w:val="22"/>
              </w:rPr>
            </w:pPr>
            <w:r w:rsidRPr="005E1843">
              <w:rPr>
                <w:szCs w:val="22"/>
              </w:rPr>
              <w:t xml:space="preserve">- Flexibilná,  alebo individuálna pracovná doba, poskytnutie pružného pracovného času, práca na čiastočný úväzok. </w:t>
            </w:r>
          </w:p>
          <w:p w14:paraId="0D830F09" w14:textId="77777777" w:rsidR="005E1843" w:rsidRPr="005E1843" w:rsidRDefault="005E1843" w:rsidP="005E1843">
            <w:pPr>
              <w:jc w:val="both"/>
              <w:rPr>
                <w:szCs w:val="22"/>
              </w:rPr>
            </w:pPr>
            <w:r w:rsidRPr="005E1843">
              <w:rPr>
                <w:szCs w:val="22"/>
              </w:rPr>
              <w:t xml:space="preserve">- Využitie pracovnoprávneho vzťahu na základe dohody o vykonaní práce, dohody o pracovnej činnosti. </w:t>
            </w:r>
          </w:p>
          <w:p w14:paraId="77E48AAF" w14:textId="77777777" w:rsidR="005E1843" w:rsidRPr="005E1843" w:rsidRDefault="005E1843" w:rsidP="005E1843">
            <w:pPr>
              <w:jc w:val="both"/>
              <w:rPr>
                <w:szCs w:val="22"/>
              </w:rPr>
            </w:pPr>
            <w:r w:rsidRPr="005E1843">
              <w:rPr>
                <w:szCs w:val="22"/>
              </w:rPr>
              <w:t xml:space="preserve">- Zdieľanie pracovného miesta (o jedno pracovné miesto sa delí viac zamestnancov, zamestnankýň, obyčajne dvaja resp. dve, pracujúci na skrátenú pracovnú dobu). </w:t>
            </w:r>
          </w:p>
          <w:p w14:paraId="15A9412E" w14:textId="77777777" w:rsidR="005E1843" w:rsidRPr="005E1843" w:rsidRDefault="005E1843" w:rsidP="005E1843">
            <w:pPr>
              <w:jc w:val="both"/>
              <w:rPr>
                <w:szCs w:val="22"/>
              </w:rPr>
            </w:pPr>
            <w:r w:rsidRPr="005E1843">
              <w:rPr>
                <w:szCs w:val="22"/>
              </w:rPr>
              <w:t xml:space="preserve">- Rozdelenie práce v rámci jej zdieľania - ide o podobnú úpravu ako zdieľanie pracovného miesta, rozdiel spočíva v tom, že úlohy, ktoré sú náplňou plného pracovného úväzku, sú rozdelené medzi dvoch ľudí tak, že každý zodpovedá iba za jemu pridelené úlohy, t. j. nie za všetky úlohy na danom pracovnom mieste. </w:t>
            </w:r>
          </w:p>
          <w:p w14:paraId="193640E1" w14:textId="77777777" w:rsidR="005E1843" w:rsidRPr="005E1843" w:rsidRDefault="005E1843" w:rsidP="005E1843">
            <w:pPr>
              <w:jc w:val="both"/>
              <w:rPr>
                <w:szCs w:val="22"/>
              </w:rPr>
            </w:pPr>
            <w:r w:rsidRPr="005E1843">
              <w:rPr>
                <w:szCs w:val="22"/>
              </w:rPr>
              <w:t>- Práca z domu, alebo dištančná práca s výpočtovou, alebo telekomunikačnou technikou (teleworking), počas všetkých alebo niektorých pracovných dní. Zamestnanci, zamestnankyne pracujú kedykoľvek a na ktoromkoľvek mieste, ktoré im umožňuje odviesť pracovnú úlohu efektívnym a výkonným spôsobom.</w:t>
            </w:r>
          </w:p>
          <w:p w14:paraId="5163AFEF" w14:textId="77777777" w:rsidR="005E1843" w:rsidRPr="005E1843" w:rsidRDefault="005E1843" w:rsidP="005E1843">
            <w:pPr>
              <w:jc w:val="both"/>
              <w:rPr>
                <w:szCs w:val="22"/>
              </w:rPr>
            </w:pPr>
            <w:r w:rsidRPr="005E1843">
              <w:rPr>
                <w:szCs w:val="22"/>
              </w:rPr>
              <w:lastRenderedPageBreak/>
              <w:t xml:space="preserve">- Projektové zamestnávanie - je kombináciou medzi zmluvou na dobu určitú, pružnou pracovnou dobou a prácou doma. Zamestnanec resp. zamestnankyňa je zamestnaný / zamestnaná na vypracovanie a ukončenie určitého projektu. </w:t>
            </w:r>
          </w:p>
          <w:p w14:paraId="78614680" w14:textId="77777777" w:rsidR="005E1843" w:rsidRPr="005E1843" w:rsidRDefault="005E1843" w:rsidP="005E1843">
            <w:pPr>
              <w:jc w:val="both"/>
              <w:rPr>
                <w:szCs w:val="22"/>
              </w:rPr>
            </w:pPr>
            <w:r w:rsidRPr="005E1843">
              <w:rPr>
                <w:szCs w:val="22"/>
              </w:rPr>
              <w:t>- Vytváranie detských kútikov v pracovnom prostredí, predovšetkým vo väčších inštitúciách.</w:t>
            </w:r>
          </w:p>
          <w:p w14:paraId="46DAA52B" w14:textId="77777777" w:rsidR="005E1843" w:rsidRPr="005E1843" w:rsidRDefault="005E1843" w:rsidP="005E1843">
            <w:pPr>
              <w:jc w:val="both"/>
              <w:rPr>
                <w:szCs w:val="22"/>
              </w:rPr>
            </w:pPr>
            <w:r w:rsidRPr="005E1843">
              <w:rPr>
                <w:szCs w:val="22"/>
              </w:rPr>
              <w:t>- Prerušenie zamestnania z rodinných/osobných dôvodov, alebo prerušenie práce za účelom vzdelávania a zvyšovania kvalifikácie.</w:t>
            </w:r>
          </w:p>
          <w:p w14:paraId="6FFADCF4" w14:textId="4CFF4873" w:rsidR="00D00ECE" w:rsidRPr="00B5088C" w:rsidRDefault="005E1843" w:rsidP="005E1843">
            <w:pPr>
              <w:jc w:val="both"/>
              <w:rPr>
                <w:szCs w:val="22"/>
              </w:rPr>
            </w:pPr>
            <w:r w:rsidRPr="005E1843">
              <w:rPr>
                <w:szCs w:val="22"/>
              </w:rPr>
              <w:t>Započítavajú sa opatrenia, ktoré sú realizované zámerne pre zosúladenie pracovného a osobného života, realizujú sa so súhlasom, alebo na požiadanie dotknutých ľudí a predmetné opatrenia majú žiadúci efekt.</w:t>
            </w:r>
          </w:p>
        </w:tc>
        <w:tc>
          <w:tcPr>
            <w:tcW w:w="1564" w:type="dxa"/>
            <w:shd w:val="clear" w:color="auto" w:fill="FFFFFF" w:themeFill="background1"/>
            <w:vAlign w:val="center"/>
          </w:tcPr>
          <w:p w14:paraId="05FB74C1" w14:textId="788B37D8" w:rsidR="00D00ECE" w:rsidRDefault="005E1843" w:rsidP="00422605">
            <w:pPr>
              <w:autoSpaceDE w:val="0"/>
              <w:autoSpaceDN w:val="0"/>
              <w:adjustRightInd w:val="0"/>
              <w:spacing w:before="120" w:after="120"/>
              <w:jc w:val="center"/>
              <w:rPr>
                <w:sz w:val="24"/>
                <w:szCs w:val="24"/>
              </w:rPr>
            </w:pPr>
            <w:r>
              <w:rPr>
                <w:sz w:val="24"/>
                <w:szCs w:val="24"/>
                <w:lang w:val="en-US"/>
              </w:rPr>
              <w:lastRenderedPageBreak/>
              <w:t>%</w:t>
            </w:r>
          </w:p>
        </w:tc>
      </w:tr>
      <w:tr w:rsidR="00D00ECE" w:rsidRPr="006E5E22" w14:paraId="30CA88F9" w14:textId="77777777" w:rsidTr="00FB5EAA">
        <w:trPr>
          <w:jc w:val="center"/>
        </w:trPr>
        <w:tc>
          <w:tcPr>
            <w:tcW w:w="2689" w:type="dxa"/>
          </w:tcPr>
          <w:p w14:paraId="0AFC460D" w14:textId="67B90152" w:rsidR="00D00ECE" w:rsidRPr="00B5088C" w:rsidRDefault="00D00ECE" w:rsidP="00D00ECE">
            <w:pPr>
              <w:rPr>
                <w:szCs w:val="22"/>
              </w:rPr>
            </w:pPr>
            <w:r>
              <w:lastRenderedPageBreak/>
              <w:t>Podiel žien na iných ako riadiacich pozíciách projektu</w:t>
            </w:r>
          </w:p>
        </w:tc>
        <w:tc>
          <w:tcPr>
            <w:tcW w:w="9838" w:type="dxa"/>
          </w:tcPr>
          <w:p w14:paraId="10E1D946" w14:textId="77777777" w:rsidR="00DB5473" w:rsidRPr="00DB5473" w:rsidRDefault="00DB5473" w:rsidP="00DB5473">
            <w:pPr>
              <w:jc w:val="both"/>
              <w:rPr>
                <w:szCs w:val="22"/>
              </w:rPr>
            </w:pPr>
            <w:r w:rsidRPr="00DB5473">
              <w:rPr>
                <w:szCs w:val="22"/>
              </w:rPr>
              <w:t>Údaj vyjadruje podiel žien na iných než riadiacich, radových pozíciách projektu, ktoré nezodpovedajú za riadenie žiadnej časti projektu ani jeho celku. Započítavajú sa radové projektové pracovné pozície za prijímateľa aj partnerov projektu, však bez ohľadu na charakter pozície v danej organizácii (osoba v danej organizácii môže mať formálne riadiace alebo vedúce postavenie, avšak v rámci projektu vykonáva iné než riadiace úlohy projektu).</w:t>
            </w:r>
          </w:p>
          <w:p w14:paraId="0B180883" w14:textId="43590D06" w:rsidR="00D00ECE" w:rsidRPr="00B5088C" w:rsidRDefault="00DB5473" w:rsidP="00DB5473">
            <w:pPr>
              <w:jc w:val="both"/>
              <w:rPr>
                <w:szCs w:val="22"/>
              </w:rPr>
            </w:pPr>
            <w:r w:rsidRPr="00DB5473">
              <w:rPr>
                <w:szCs w:val="22"/>
              </w:rPr>
              <w:t>Metóda výpočtu: Podiel súčtu žien v radových pozíciách projektu na celkovom počte osôb v radových pozíciách projektu. Pokiaľ je jedna pracovná pozícia obsadená 2 osobami na polovičný úväzok, do celkového počtu osôb v radových pozíciách projektu sa započítava hodnota 2.</w:t>
            </w:r>
          </w:p>
        </w:tc>
        <w:tc>
          <w:tcPr>
            <w:tcW w:w="1564" w:type="dxa"/>
            <w:shd w:val="clear" w:color="auto" w:fill="FFFFFF" w:themeFill="background1"/>
            <w:vAlign w:val="center"/>
          </w:tcPr>
          <w:p w14:paraId="340B4E60" w14:textId="4A557AAB" w:rsidR="00D00ECE" w:rsidRDefault="00DB5473" w:rsidP="00422605">
            <w:pPr>
              <w:autoSpaceDE w:val="0"/>
              <w:autoSpaceDN w:val="0"/>
              <w:adjustRightInd w:val="0"/>
              <w:spacing w:before="120" w:after="120"/>
              <w:jc w:val="center"/>
              <w:rPr>
                <w:sz w:val="24"/>
                <w:szCs w:val="24"/>
              </w:rPr>
            </w:pPr>
            <w:r>
              <w:rPr>
                <w:sz w:val="24"/>
                <w:szCs w:val="24"/>
              </w:rPr>
              <w:t>%</w:t>
            </w:r>
          </w:p>
        </w:tc>
      </w:tr>
      <w:tr w:rsidR="00422605" w:rsidRPr="006E5E22" w14:paraId="1CA0B51D" w14:textId="77777777" w:rsidTr="00FB5EAA">
        <w:trPr>
          <w:jc w:val="center"/>
        </w:trPr>
        <w:tc>
          <w:tcPr>
            <w:tcW w:w="2689" w:type="dxa"/>
          </w:tcPr>
          <w:p w14:paraId="2BA715F8" w14:textId="3C1B4A64" w:rsidR="00422605" w:rsidRPr="00B5088C" w:rsidRDefault="00422605" w:rsidP="00422605">
            <w:pPr>
              <w:rPr>
                <w:szCs w:val="22"/>
              </w:rPr>
            </w:pPr>
            <w:r w:rsidRPr="00B5088C">
              <w:rPr>
                <w:szCs w:val="22"/>
              </w:rPr>
              <w:t>Mzda mužov refundovaná z projektu (priemer)</w:t>
            </w:r>
          </w:p>
        </w:tc>
        <w:tc>
          <w:tcPr>
            <w:tcW w:w="9838" w:type="dxa"/>
          </w:tcPr>
          <w:p w14:paraId="775A04C9" w14:textId="77777777" w:rsidR="00422605" w:rsidRPr="00B5088C" w:rsidRDefault="00422605" w:rsidP="00422605">
            <w:pPr>
              <w:jc w:val="both"/>
              <w:rPr>
                <w:szCs w:val="22"/>
              </w:rPr>
            </w:pPr>
            <w:r w:rsidRPr="00B5088C">
              <w:rPr>
                <w:szCs w:val="22"/>
              </w:rPr>
              <w:t>Údaj vyjadruje priemernú hrubú mesačnú mzdu mužov refundovanú z projektu. Do údaju sa nezahŕňa mzda osôb, s ktorými bola uzavretá niektorá z dohôd o prácach vykonávanej mimo pracovného pomer, mzda učňov a študentov na prevádzkovej praxi, príjem súkromných podnikateľov (resp. ich spoločníkov), ktorí nemajú uzavretú pracovnú zmluvu v danej organizácii.</w:t>
            </w:r>
          </w:p>
          <w:p w14:paraId="44029366" w14:textId="537683F0" w:rsidR="00422605" w:rsidRPr="00B5088C" w:rsidRDefault="00422605" w:rsidP="00422605">
            <w:pPr>
              <w:jc w:val="both"/>
              <w:rPr>
                <w:szCs w:val="22"/>
              </w:rPr>
            </w:pPr>
            <w:r w:rsidRPr="00B5088C">
              <w:rPr>
                <w:szCs w:val="22"/>
              </w:rPr>
              <w:t>Metóda výpočtu na úrovni projektu: Podiel súčtu priemerných mesačných hrubých miezd za všetkých pracovníkov (priemerná mesačná hrubá mzda pracovníka sa vypočíta ako aritmetický priemer mesačných hrubých miezd za odpracované/refundované obdobie), ktorým mzda bola refundovaná počas projektu (čitateľ) a súčtu daných pracovníkov, prepočítaných na FTE (menovateľ).</w:t>
            </w:r>
          </w:p>
        </w:tc>
        <w:tc>
          <w:tcPr>
            <w:tcW w:w="1564" w:type="dxa"/>
            <w:shd w:val="clear" w:color="auto" w:fill="FFFFFF" w:themeFill="background1"/>
            <w:vAlign w:val="center"/>
          </w:tcPr>
          <w:p w14:paraId="31DD94C2" w14:textId="04B05DD7" w:rsidR="00422605" w:rsidRDefault="00422605" w:rsidP="00422605">
            <w:pPr>
              <w:autoSpaceDE w:val="0"/>
              <w:autoSpaceDN w:val="0"/>
              <w:adjustRightInd w:val="0"/>
              <w:spacing w:before="120" w:after="120"/>
              <w:jc w:val="center"/>
              <w:rPr>
                <w:sz w:val="24"/>
                <w:szCs w:val="24"/>
              </w:rPr>
            </w:pPr>
            <w:r>
              <w:rPr>
                <w:sz w:val="24"/>
                <w:szCs w:val="24"/>
              </w:rPr>
              <w:t>EUR</w:t>
            </w:r>
          </w:p>
        </w:tc>
      </w:tr>
      <w:tr w:rsidR="00422605" w:rsidRPr="006E5E22" w14:paraId="15E2A4B1" w14:textId="77777777" w:rsidTr="00FB5EAA">
        <w:trPr>
          <w:jc w:val="center"/>
        </w:trPr>
        <w:tc>
          <w:tcPr>
            <w:tcW w:w="2689" w:type="dxa"/>
          </w:tcPr>
          <w:p w14:paraId="1C63DA57" w14:textId="101F203D" w:rsidR="00422605" w:rsidRPr="00B5088C" w:rsidRDefault="00422605" w:rsidP="00422605">
            <w:pPr>
              <w:rPr>
                <w:szCs w:val="22"/>
              </w:rPr>
            </w:pPr>
            <w:r w:rsidRPr="00B5088C">
              <w:rPr>
                <w:szCs w:val="22"/>
              </w:rPr>
              <w:t>Mzda mužov refundovaná z projektu (medián)</w:t>
            </w:r>
          </w:p>
        </w:tc>
        <w:tc>
          <w:tcPr>
            <w:tcW w:w="9838" w:type="dxa"/>
          </w:tcPr>
          <w:p w14:paraId="7948AA92" w14:textId="0348F10A" w:rsidR="00422605" w:rsidRPr="00B5088C" w:rsidRDefault="00422605" w:rsidP="00422605">
            <w:pPr>
              <w:jc w:val="both"/>
              <w:rPr>
                <w:szCs w:val="22"/>
              </w:rPr>
            </w:pPr>
            <w:r w:rsidRPr="00B5088C">
              <w:rPr>
                <w:szCs w:val="22"/>
              </w:rPr>
              <w:t xml:space="preserve">Údaj vyjadruje medián (strednú hodnotu) priemerných mesačných miezd mužov, refundovanú z projektu. </w:t>
            </w:r>
            <w:r w:rsidR="0089274D">
              <w:rPr>
                <w:szCs w:val="22"/>
              </w:rPr>
              <w:t xml:space="preserve">                    </w:t>
            </w:r>
            <w:r w:rsidRPr="00B5088C">
              <w:rPr>
                <w:szCs w:val="22"/>
              </w:rPr>
              <w:t>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w:t>
            </w:r>
          </w:p>
          <w:p w14:paraId="3DBC0AF4" w14:textId="73C49ED1" w:rsidR="00422605" w:rsidRPr="00B5088C" w:rsidRDefault="00422605" w:rsidP="00422605">
            <w:pPr>
              <w:jc w:val="both"/>
              <w:rPr>
                <w:szCs w:val="22"/>
              </w:rPr>
            </w:pPr>
            <w:r w:rsidRPr="00B5088C">
              <w:rPr>
                <w:szCs w:val="22"/>
              </w:rPr>
              <w:t>Metóda výpočtu na úrovni projektu: Medián priemerných mesačných hrubých miezd za všetkých  pracovníkov (priemerná mesačná hrubá mzda pracovníka sa vypočíta ako aritmetický priemer mesačných hrubých miezd za odpracované/refundované obdobie), ktorým mzda bola refundovaná počas projektu.</w:t>
            </w:r>
          </w:p>
        </w:tc>
        <w:tc>
          <w:tcPr>
            <w:tcW w:w="1564" w:type="dxa"/>
            <w:shd w:val="clear" w:color="auto" w:fill="FFFFFF" w:themeFill="background1"/>
            <w:vAlign w:val="center"/>
          </w:tcPr>
          <w:p w14:paraId="71FD1A30" w14:textId="590DBAD3" w:rsidR="00422605" w:rsidRDefault="00422605" w:rsidP="00422605">
            <w:pPr>
              <w:autoSpaceDE w:val="0"/>
              <w:autoSpaceDN w:val="0"/>
              <w:adjustRightInd w:val="0"/>
              <w:spacing w:before="120" w:after="120"/>
              <w:jc w:val="center"/>
              <w:rPr>
                <w:sz w:val="24"/>
                <w:szCs w:val="24"/>
              </w:rPr>
            </w:pPr>
            <w:r>
              <w:rPr>
                <w:sz w:val="24"/>
                <w:szCs w:val="24"/>
              </w:rPr>
              <w:t>EUR</w:t>
            </w:r>
          </w:p>
        </w:tc>
      </w:tr>
      <w:tr w:rsidR="00422605" w:rsidRPr="006E5E22" w14:paraId="5B68EEE9" w14:textId="77777777" w:rsidTr="00FB5EAA">
        <w:trPr>
          <w:jc w:val="center"/>
        </w:trPr>
        <w:tc>
          <w:tcPr>
            <w:tcW w:w="2689" w:type="dxa"/>
          </w:tcPr>
          <w:p w14:paraId="4D05B07A" w14:textId="7F804D95" w:rsidR="00422605" w:rsidRPr="00B5088C" w:rsidRDefault="00422605" w:rsidP="00422605">
            <w:pPr>
              <w:rPr>
                <w:szCs w:val="22"/>
              </w:rPr>
            </w:pPr>
            <w:r w:rsidRPr="00B5088C">
              <w:rPr>
                <w:szCs w:val="22"/>
              </w:rPr>
              <w:t>Mzda žien refundovaná z projektu (priemer)</w:t>
            </w:r>
          </w:p>
        </w:tc>
        <w:tc>
          <w:tcPr>
            <w:tcW w:w="9838" w:type="dxa"/>
          </w:tcPr>
          <w:p w14:paraId="429364D8" w14:textId="469D002B" w:rsidR="00422605" w:rsidRPr="00B5088C" w:rsidRDefault="00422605" w:rsidP="00422605">
            <w:pPr>
              <w:jc w:val="both"/>
              <w:rPr>
                <w:szCs w:val="22"/>
              </w:rPr>
            </w:pPr>
            <w:r w:rsidRPr="00B5088C">
              <w:rPr>
                <w:szCs w:val="22"/>
              </w:rPr>
              <w:t xml:space="preserve">Údaj vyjadruje priemernú hrubú mesačnú mzdu žien refundovanú z projektu. Do údaju sa nezahŕňa mzda osôb, s ktorými bola uzavretá niektorá z dohôd o prácach vykonávanej mimo pracovného pomer, mzda učníc </w:t>
            </w:r>
            <w:r w:rsidR="0089274D">
              <w:rPr>
                <w:szCs w:val="22"/>
              </w:rPr>
              <w:t xml:space="preserve">                          </w:t>
            </w:r>
            <w:r w:rsidRPr="00B5088C">
              <w:rPr>
                <w:szCs w:val="22"/>
              </w:rPr>
              <w:t>a študentiek na prevádzkovej praxi, príjem súkromných podnikateliek (resp. ich spoločníkov, spoločníčok), ktoré nemajú uzavretú pracovnú zmluvu v danej organizácii.</w:t>
            </w:r>
          </w:p>
          <w:p w14:paraId="6E50263D" w14:textId="2B907B4D" w:rsidR="00422605" w:rsidRPr="00B5088C" w:rsidRDefault="00422605" w:rsidP="00422605">
            <w:pPr>
              <w:jc w:val="both"/>
              <w:rPr>
                <w:szCs w:val="22"/>
              </w:rPr>
            </w:pPr>
            <w:r w:rsidRPr="00B5088C">
              <w:rPr>
                <w:szCs w:val="22"/>
              </w:rPr>
              <w:t xml:space="preserve">Metóda výpočtu na úrovni projektu: Podiel súčtu priemerných mesačných hrubých miezd za všetky pracovníčky (priemerná mesačná hrubá mzda pracovníčky sa vypočíta ako aritmetický priemer mesačných </w:t>
            </w:r>
            <w:r w:rsidRPr="00B5088C">
              <w:rPr>
                <w:szCs w:val="22"/>
              </w:rPr>
              <w:lastRenderedPageBreak/>
              <w:t>hrubých miezd za odpracované/refundované obdobie), ktorým mzda bola refundovaná počas projektu (čitateľ) a súčtu daných pracovníčok, prepočítaných na FTE (menovateľ).</w:t>
            </w:r>
          </w:p>
        </w:tc>
        <w:tc>
          <w:tcPr>
            <w:tcW w:w="1564" w:type="dxa"/>
            <w:shd w:val="clear" w:color="auto" w:fill="FFFFFF" w:themeFill="background1"/>
            <w:vAlign w:val="center"/>
          </w:tcPr>
          <w:p w14:paraId="13D7DDE9" w14:textId="60D701BA" w:rsidR="00422605" w:rsidRDefault="00422605" w:rsidP="00422605">
            <w:pPr>
              <w:autoSpaceDE w:val="0"/>
              <w:autoSpaceDN w:val="0"/>
              <w:adjustRightInd w:val="0"/>
              <w:spacing w:before="120" w:after="120"/>
              <w:jc w:val="center"/>
              <w:rPr>
                <w:sz w:val="24"/>
                <w:szCs w:val="24"/>
              </w:rPr>
            </w:pPr>
            <w:r>
              <w:rPr>
                <w:sz w:val="24"/>
                <w:szCs w:val="24"/>
              </w:rPr>
              <w:lastRenderedPageBreak/>
              <w:t>EUR</w:t>
            </w:r>
          </w:p>
        </w:tc>
      </w:tr>
      <w:tr w:rsidR="00422605" w:rsidRPr="006E5E22" w14:paraId="6192483F" w14:textId="77777777" w:rsidTr="00FB5EAA">
        <w:trPr>
          <w:jc w:val="center"/>
        </w:trPr>
        <w:tc>
          <w:tcPr>
            <w:tcW w:w="2689" w:type="dxa"/>
          </w:tcPr>
          <w:p w14:paraId="1D000120" w14:textId="128BAB6F" w:rsidR="00422605" w:rsidRPr="00B5088C" w:rsidRDefault="00422605" w:rsidP="00422605">
            <w:pPr>
              <w:rPr>
                <w:szCs w:val="22"/>
              </w:rPr>
            </w:pPr>
            <w:r w:rsidRPr="00B5088C">
              <w:rPr>
                <w:szCs w:val="22"/>
              </w:rPr>
              <w:lastRenderedPageBreak/>
              <w:t>Mzda žien refundovaná z projektu (medián)</w:t>
            </w:r>
          </w:p>
        </w:tc>
        <w:tc>
          <w:tcPr>
            <w:tcW w:w="9838" w:type="dxa"/>
          </w:tcPr>
          <w:p w14:paraId="757BE7D7" w14:textId="639A43AB" w:rsidR="00422605" w:rsidRPr="00B5088C" w:rsidRDefault="00422605" w:rsidP="00422605">
            <w:pPr>
              <w:jc w:val="both"/>
              <w:rPr>
                <w:szCs w:val="22"/>
              </w:rPr>
            </w:pPr>
            <w:r w:rsidRPr="00B5088C">
              <w:rPr>
                <w:szCs w:val="22"/>
              </w:rPr>
              <w:t xml:space="preserve">Údaj vyjadruje medián (strednú hodnotu) priemerných mesačných miezd žien, refundovanú z projektu. </w:t>
            </w:r>
            <w:r w:rsidR="0089274D">
              <w:rPr>
                <w:szCs w:val="22"/>
              </w:rPr>
              <w:t xml:space="preserve">                       </w:t>
            </w:r>
            <w:r w:rsidRPr="00B5088C">
              <w:rPr>
                <w:szCs w:val="22"/>
              </w:rPr>
              <w:t xml:space="preserve">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 </w:t>
            </w:r>
          </w:p>
          <w:p w14:paraId="2437ED43" w14:textId="2D7A2CC0" w:rsidR="00422605" w:rsidRPr="00B5088C" w:rsidRDefault="00422605" w:rsidP="00422605">
            <w:pPr>
              <w:jc w:val="both"/>
              <w:rPr>
                <w:szCs w:val="22"/>
              </w:rPr>
            </w:pPr>
            <w:r w:rsidRPr="00B5088C">
              <w:rPr>
                <w:szCs w:val="22"/>
              </w:rPr>
              <w:t>Metóda výpočtu na úrovni projektu: Medián priemerných mesačných hrubých miezd za všetky pracovníčky (priemerná mesačná hrubá mzda pracovníčky sa vypočíta ako aritmetický priemer mesačných hrubých miezd za odpracované/refundované obdobie), ktorým mzda bola refundovaná počas projektu.</w:t>
            </w:r>
          </w:p>
        </w:tc>
        <w:tc>
          <w:tcPr>
            <w:tcW w:w="1564" w:type="dxa"/>
            <w:shd w:val="clear" w:color="auto" w:fill="FFFFFF" w:themeFill="background1"/>
            <w:vAlign w:val="center"/>
          </w:tcPr>
          <w:p w14:paraId="1095E581" w14:textId="43138F27" w:rsidR="00422605" w:rsidRDefault="00422605" w:rsidP="00422605">
            <w:pPr>
              <w:autoSpaceDE w:val="0"/>
              <w:autoSpaceDN w:val="0"/>
              <w:adjustRightInd w:val="0"/>
              <w:spacing w:before="120" w:after="120"/>
              <w:jc w:val="center"/>
              <w:rPr>
                <w:sz w:val="24"/>
                <w:szCs w:val="24"/>
              </w:rPr>
            </w:pPr>
            <w:r>
              <w:rPr>
                <w:sz w:val="24"/>
                <w:szCs w:val="24"/>
              </w:rPr>
              <w:t>EUR</w:t>
            </w:r>
          </w:p>
        </w:tc>
      </w:tr>
      <w:tr w:rsidR="00D00ECE" w:rsidRPr="006E5E22" w14:paraId="218BC325" w14:textId="77777777" w:rsidTr="00FB5EAA">
        <w:trPr>
          <w:jc w:val="center"/>
        </w:trPr>
        <w:tc>
          <w:tcPr>
            <w:tcW w:w="2689" w:type="dxa"/>
          </w:tcPr>
          <w:p w14:paraId="01B0FC39" w14:textId="045D30BD" w:rsidR="00D00ECE" w:rsidRPr="00B5088C" w:rsidRDefault="00D00ECE" w:rsidP="00422605">
            <w:pPr>
              <w:rPr>
                <w:szCs w:val="22"/>
              </w:rPr>
            </w:pPr>
            <w:r>
              <w:t>Počet absolventov vzdelávacích aktivít projektu</w:t>
            </w:r>
          </w:p>
        </w:tc>
        <w:tc>
          <w:tcPr>
            <w:tcW w:w="9838" w:type="dxa"/>
          </w:tcPr>
          <w:p w14:paraId="7DC8D019" w14:textId="54126528" w:rsidR="00D00ECE" w:rsidRDefault="00DB5473" w:rsidP="00422605">
            <w:pPr>
              <w:jc w:val="both"/>
              <w:rPr>
                <w:szCs w:val="22"/>
              </w:rPr>
            </w:pPr>
            <w:r w:rsidRPr="00DB5473">
              <w:rPr>
                <w:szCs w:val="22"/>
              </w:rPr>
              <w:t>Údaj vyjadruje celkový počet absolventov, absolventiek vzdelávacích aktivít projektu za sledované obdobie.</w:t>
            </w:r>
          </w:p>
        </w:tc>
        <w:tc>
          <w:tcPr>
            <w:tcW w:w="1564" w:type="dxa"/>
            <w:shd w:val="clear" w:color="auto" w:fill="FFFFFF" w:themeFill="background1"/>
            <w:vAlign w:val="center"/>
          </w:tcPr>
          <w:p w14:paraId="1BE45489" w14:textId="328C6A94" w:rsidR="00D00ECE" w:rsidRDefault="00DB5473" w:rsidP="00422605">
            <w:pPr>
              <w:autoSpaceDE w:val="0"/>
              <w:autoSpaceDN w:val="0"/>
              <w:adjustRightInd w:val="0"/>
              <w:spacing w:before="120" w:after="120"/>
              <w:jc w:val="center"/>
              <w:rPr>
                <w:sz w:val="24"/>
                <w:szCs w:val="24"/>
              </w:rPr>
            </w:pPr>
            <w:r>
              <w:rPr>
                <w:sz w:val="24"/>
                <w:szCs w:val="24"/>
              </w:rPr>
              <w:t>Počet</w:t>
            </w:r>
          </w:p>
        </w:tc>
      </w:tr>
      <w:tr w:rsidR="00D00ECE" w:rsidRPr="006E5E22" w14:paraId="3289131D" w14:textId="77777777" w:rsidTr="00FB5EAA">
        <w:trPr>
          <w:jc w:val="center"/>
        </w:trPr>
        <w:tc>
          <w:tcPr>
            <w:tcW w:w="2689" w:type="dxa"/>
          </w:tcPr>
          <w:p w14:paraId="1D65F8FF" w14:textId="52C80CE7" w:rsidR="00D00ECE" w:rsidRDefault="00D00ECE" w:rsidP="00D00ECE">
            <w:pPr>
              <w:rPr>
                <w:szCs w:val="22"/>
              </w:rPr>
            </w:pPr>
            <w:r>
              <w:t>Počet absolventov vzdelávacích aktivít projektu zo znevýhodnených skupín  </w:t>
            </w:r>
          </w:p>
        </w:tc>
        <w:tc>
          <w:tcPr>
            <w:tcW w:w="9838" w:type="dxa"/>
          </w:tcPr>
          <w:p w14:paraId="6C0E0F99" w14:textId="11A0D820" w:rsidR="00D00ECE" w:rsidRDefault="00DB5473" w:rsidP="00422605">
            <w:pPr>
              <w:jc w:val="both"/>
              <w:rPr>
                <w:szCs w:val="22"/>
              </w:rPr>
            </w:pPr>
            <w:r w:rsidRPr="00DB5473">
              <w:rPr>
                <w:szCs w:val="22"/>
              </w:rPr>
              <w:t>Údaj vyjadruje celkový počet vzdelávacích aktivít projektu za sledované obdobie, ktoré sa zaoberali výlučne problematikou nediskriminácie a rovnosti mužov a žien.</w:t>
            </w:r>
          </w:p>
        </w:tc>
        <w:tc>
          <w:tcPr>
            <w:tcW w:w="1564" w:type="dxa"/>
            <w:shd w:val="clear" w:color="auto" w:fill="FFFFFF" w:themeFill="background1"/>
            <w:vAlign w:val="center"/>
          </w:tcPr>
          <w:p w14:paraId="72794CED" w14:textId="628FF693" w:rsidR="00D00ECE" w:rsidRDefault="00DB5473" w:rsidP="00422605">
            <w:pPr>
              <w:autoSpaceDE w:val="0"/>
              <w:autoSpaceDN w:val="0"/>
              <w:adjustRightInd w:val="0"/>
              <w:spacing w:before="120" w:after="120"/>
              <w:jc w:val="center"/>
              <w:rPr>
                <w:sz w:val="24"/>
                <w:szCs w:val="24"/>
              </w:rPr>
            </w:pPr>
            <w:r>
              <w:rPr>
                <w:sz w:val="24"/>
                <w:szCs w:val="24"/>
              </w:rPr>
              <w:t>Počet</w:t>
            </w:r>
          </w:p>
        </w:tc>
      </w:tr>
      <w:tr w:rsidR="00D00ECE" w:rsidRPr="006E5E22" w14:paraId="22FD4B53" w14:textId="77777777" w:rsidTr="00FB5EAA">
        <w:trPr>
          <w:jc w:val="center"/>
        </w:trPr>
        <w:tc>
          <w:tcPr>
            <w:tcW w:w="2689" w:type="dxa"/>
          </w:tcPr>
          <w:p w14:paraId="2AFCF530" w14:textId="7F90E341" w:rsidR="00D00ECE" w:rsidRDefault="005E1843" w:rsidP="00D00ECE">
            <w:pPr>
              <w:rPr>
                <w:szCs w:val="22"/>
              </w:rPr>
            </w:pPr>
            <w:r>
              <w:t>Počet vzdelávacích aktivít projektu zaoberajúcich sa aj problematikou nediskriminácie a rovnosti mužov a žien</w:t>
            </w:r>
          </w:p>
        </w:tc>
        <w:tc>
          <w:tcPr>
            <w:tcW w:w="9838" w:type="dxa"/>
          </w:tcPr>
          <w:p w14:paraId="45570DDA" w14:textId="07612DB1" w:rsidR="00D00ECE" w:rsidRDefault="00DB5473" w:rsidP="00422605">
            <w:pPr>
              <w:jc w:val="both"/>
              <w:rPr>
                <w:szCs w:val="22"/>
              </w:rPr>
            </w:pPr>
            <w:r w:rsidRPr="00DB5473">
              <w:rPr>
                <w:szCs w:val="22"/>
              </w:rPr>
              <w:t>Údaj vyjadruje celkový počet vzdelávacích aktivít projektu za sledované obdobie, ktoré sa zaoberali aj problematikou nediskriminácie a rovnosti mužov a žien.</w:t>
            </w:r>
          </w:p>
        </w:tc>
        <w:tc>
          <w:tcPr>
            <w:tcW w:w="1564" w:type="dxa"/>
            <w:shd w:val="clear" w:color="auto" w:fill="FFFFFF" w:themeFill="background1"/>
            <w:vAlign w:val="center"/>
          </w:tcPr>
          <w:p w14:paraId="37BB2EC0" w14:textId="36229D58" w:rsidR="00D00ECE" w:rsidRDefault="00DB5473" w:rsidP="00422605">
            <w:pPr>
              <w:autoSpaceDE w:val="0"/>
              <w:autoSpaceDN w:val="0"/>
              <w:adjustRightInd w:val="0"/>
              <w:spacing w:before="120" w:after="120"/>
              <w:jc w:val="center"/>
              <w:rPr>
                <w:sz w:val="24"/>
                <w:szCs w:val="24"/>
              </w:rPr>
            </w:pPr>
            <w:r>
              <w:rPr>
                <w:sz w:val="24"/>
                <w:szCs w:val="24"/>
              </w:rPr>
              <w:t>Počet</w:t>
            </w:r>
          </w:p>
        </w:tc>
      </w:tr>
    </w:tbl>
    <w:p w14:paraId="75709281" w14:textId="77777777" w:rsidR="00C042DD" w:rsidRPr="001A680F" w:rsidRDefault="00C042DD" w:rsidP="001A680F">
      <w:pPr>
        <w:jc w:val="both"/>
        <w:rPr>
          <w:sz w:val="24"/>
          <w:szCs w:val="24"/>
        </w:rPr>
      </w:pPr>
    </w:p>
    <w:sectPr w:rsidR="00C042DD" w:rsidRPr="001A680F" w:rsidSect="000565A4">
      <w:headerReference w:type="even" r:id="rId12"/>
      <w:headerReference w:type="default" r:id="rId13"/>
      <w:footerReference w:type="even" r:id="rId14"/>
      <w:headerReference w:type="first" r:id="rId15"/>
      <w:pgSz w:w="16840" w:h="11907" w:orient="landscape" w:code="9"/>
      <w:pgMar w:top="1474" w:right="1276" w:bottom="822" w:left="1247" w:header="108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FA807" w14:textId="77777777" w:rsidR="00F60A79" w:rsidRDefault="00F60A79">
      <w:r>
        <w:separator/>
      </w:r>
    </w:p>
  </w:endnote>
  <w:endnote w:type="continuationSeparator" w:id="0">
    <w:p w14:paraId="574C9F22" w14:textId="77777777" w:rsidR="00F60A79" w:rsidRDefault="00F6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KPMG Logo">
    <w:altName w:val="Courier New"/>
    <w:charset w:val="00"/>
    <w:family w:val="auto"/>
    <w:pitch w:val="variable"/>
    <w:sig w:usb0="00000003" w:usb1="00000000" w:usb2="00000000" w:usb3="00000000" w:csb0="00000001" w:csb1="00000000"/>
  </w:font>
  <w:font w:name="Univers 55">
    <w:altName w:val="Arial"/>
    <w:charset w:val="EE"/>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9291" w14:textId="77777777" w:rsidR="00D52080" w:rsidRDefault="00D52080">
    <w:pPr>
      <w:pStyle w:val="Pta"/>
      <w:framePr w:hSpace="181" w:wrap="around" w:vAnchor="text" w:hAnchor="text" w:xAlign="right" w:y="1"/>
    </w:pPr>
    <w:r>
      <w:fldChar w:fldCharType="begin"/>
    </w:r>
    <w:r>
      <w:instrText xml:space="preserve"> FILENAME </w:instrText>
    </w:r>
    <w:r>
      <w:fldChar w:fldCharType="separate"/>
    </w:r>
    <w:r w:rsidR="002408A7">
      <w:rPr>
        <w:noProof/>
      </w:rPr>
      <w:t>Priloha PpZ_c_4_Zoznam_inych_udajov</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sidR="002408A7">
      <w:rPr>
        <w:b/>
        <w:bCs/>
      </w:rPr>
      <w:instrText>Chyba! Neznámy názov vlastnosti dokumentu.</w:instrText>
    </w:r>
    <w:r>
      <w:fldChar w:fldCharType="end"/>
    </w:r>
    <w:r>
      <w:instrText xml:space="preserve"> </w:instrText>
    </w:r>
    <w:r>
      <w:fldChar w:fldCharType="separate"/>
    </w:r>
    <w:r w:rsidR="002408A7">
      <w:rPr>
        <w:b/>
        <w:bCs/>
        <w:noProof/>
      </w:rPr>
      <w:t>Chyba! V reťazci obrázka je neznámy znak.</w:t>
    </w:r>
    <w:r>
      <w:fldChar w:fldCharType="end"/>
    </w:r>
  </w:p>
  <w:p w14:paraId="75709292" w14:textId="77777777" w:rsidR="00D52080" w:rsidRDefault="00D52080">
    <w:pPr>
      <w:pStyle w:val="Pta"/>
    </w:pPr>
    <w:r>
      <w:rPr>
        <w:noProof/>
        <w:sz w:val="20"/>
        <w:lang w:eastAsia="sk-SK"/>
      </w:rPr>
      <mc:AlternateContent>
        <mc:Choice Requires="wps">
          <w:drawing>
            <wp:anchor distT="0" distB="0" distL="114300" distR="114300" simplePos="0" relativeHeight="251658240" behindDoc="0" locked="0" layoutInCell="1" allowOverlap="1" wp14:anchorId="75709294" wp14:editId="75709295">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09296" w14:textId="77777777" w:rsidR="00D52080" w:rsidRDefault="00D52080">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2408A7">
                            <w:rPr>
                              <w:rFonts w:ascii="Univers 55" w:hAnsi="Univers 55" w:cs="Arial"/>
                              <w:noProof/>
                              <w:sz w:val="12"/>
                            </w:rPr>
                            <w:t>2017</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408A7">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408A7">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2408A7">
                            <w:rPr>
                              <w:rFonts w:ascii="Univers 55" w:hAnsi="Univers 55"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09294" id="_x0000_t202" coordsize="21600,21600" o:spt="202" path="m,l,21600r21600,l21600,xe">
              <v:stroke joinstyle="miter"/>
              <v:path gradientshapeok="t" o:connecttype="rect"/>
            </v:shapetype>
            <v:shape id="Text Box 1" o:spid="_x0000_s1026" type="#_x0000_t202" style="position:absolute;margin-left:0;margin-top:0;width:190.85pt;height:31.8pt;z-index:251658240;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75709296" w14:textId="77777777" w:rsidR="00D52080" w:rsidRDefault="00D52080">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2408A7">
                      <w:rPr>
                        <w:rFonts w:ascii="Univers 55" w:hAnsi="Univers 55" w:cs="Arial"/>
                        <w:noProof/>
                        <w:sz w:val="12"/>
                      </w:rPr>
                      <w:t>2017</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408A7">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408A7">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2408A7">
                      <w:rPr>
                        <w:rFonts w:ascii="Univers 55" w:hAnsi="Univers 55"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71464" w14:textId="77777777" w:rsidR="00F60A79" w:rsidRDefault="00F60A79">
      <w:r>
        <w:separator/>
      </w:r>
    </w:p>
  </w:footnote>
  <w:footnote w:type="continuationSeparator" w:id="0">
    <w:p w14:paraId="0183A9EB" w14:textId="77777777" w:rsidR="00F60A79" w:rsidRDefault="00F60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9288" w14:textId="77777777" w:rsidR="00D52080" w:rsidRDefault="00D52080">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D52080" w14:paraId="7570928A" w14:textId="77777777">
      <w:trPr>
        <w:trHeight w:hRule="exact" w:val="220"/>
      </w:trPr>
      <w:tc>
        <w:tcPr>
          <w:tcW w:w="4111" w:type="dxa"/>
        </w:tcPr>
        <w:p w14:paraId="75709289" w14:textId="77777777" w:rsidR="00D52080" w:rsidRDefault="00D52080">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sidR="002408A7">
            <w:rPr>
              <w:bCs/>
            </w:rPr>
            <w:t>Chyba! Neznámy názov vlastnosti dokumentu.</w:t>
          </w:r>
          <w:r>
            <w:rPr>
              <w:b/>
            </w:rPr>
            <w:fldChar w:fldCharType="end"/>
          </w:r>
        </w:p>
      </w:tc>
    </w:tr>
    <w:tr w:rsidR="00D52080" w14:paraId="7570928C" w14:textId="77777777">
      <w:trPr>
        <w:trHeight w:hRule="exact" w:val="220"/>
      </w:trPr>
      <w:tc>
        <w:tcPr>
          <w:tcW w:w="4111" w:type="dxa"/>
        </w:tcPr>
        <w:p w14:paraId="7570928B" w14:textId="77777777" w:rsidR="00D52080" w:rsidRDefault="00D52080">
          <w:pPr>
            <w:pStyle w:val="Hlavika"/>
            <w:framePr w:hSpace="181" w:wrap="around" w:vAnchor="text" w:hAnchor="text" w:xAlign="right" w:y="1"/>
          </w:pPr>
          <w:r>
            <w:fldChar w:fldCharType="begin"/>
          </w:r>
          <w:r>
            <w:instrText xml:space="preserve"> DocProperty KISSubject  \* charformat </w:instrText>
          </w:r>
          <w:r>
            <w:fldChar w:fldCharType="separate"/>
          </w:r>
          <w:r w:rsidR="002408A7">
            <w:rPr>
              <w:b/>
              <w:bCs/>
            </w:rPr>
            <w:t>Chyba! Neznámy názov vlastnosti dokumentu.</w:t>
          </w:r>
          <w:r>
            <w:fldChar w:fldCharType="end"/>
          </w:r>
        </w:p>
      </w:tc>
    </w:tr>
    <w:tr w:rsidR="00D52080" w14:paraId="7570928E" w14:textId="77777777">
      <w:tc>
        <w:tcPr>
          <w:tcW w:w="4111" w:type="dxa"/>
        </w:tcPr>
        <w:p w14:paraId="7570928D" w14:textId="77777777" w:rsidR="00D52080" w:rsidRDefault="00D52080">
          <w:pPr>
            <w:pStyle w:val="Hlavika"/>
            <w:framePr w:hSpace="181" w:wrap="around" w:vAnchor="text" w:hAnchor="text" w:xAlign="right" w:y="1"/>
          </w:pPr>
          <w:r>
            <w:fldChar w:fldCharType="begin"/>
          </w:r>
          <w:r>
            <w:instrText xml:space="preserve"> DocProperty KISHdrInfo \* charformat </w:instrText>
          </w:r>
          <w:r>
            <w:fldChar w:fldCharType="separate"/>
          </w:r>
          <w:r w:rsidR="002408A7">
            <w:rPr>
              <w:b/>
              <w:bCs/>
            </w:rPr>
            <w:t>Chyba! Neznámy názov vlastnosti dokumentu.</w:t>
          </w:r>
          <w:r>
            <w:fldChar w:fldCharType="end"/>
          </w:r>
        </w:p>
      </w:tc>
    </w:tr>
  </w:tbl>
  <w:p w14:paraId="7570928F" w14:textId="77777777" w:rsidR="00D52080" w:rsidRDefault="00D5208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9290" w14:textId="77777777" w:rsidR="00D52080" w:rsidRPr="005354D8" w:rsidRDefault="00D52080" w:rsidP="005354D8">
    <w:pPr>
      <w:pStyle w:val="Hlavika"/>
      <w:tabs>
        <w:tab w:val="left" w:pos="0"/>
        <w:tab w:val="right" w:pos="8789"/>
      </w:tabs>
      <w:spacing w:line="240" w:lineRule="auto"/>
      <w:ind w:hanging="284"/>
      <w:jc w:val="both"/>
      <w:rPr>
        <w:i w:val="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9293" w14:textId="7F9D6F8D" w:rsidR="00A302BC" w:rsidRPr="00203DE7" w:rsidRDefault="00203DE7" w:rsidP="00203DE7">
    <w:pPr>
      <w:pStyle w:val="Hlavika"/>
      <w:ind w:left="7371" w:firstLine="567"/>
      <w:jc w:val="left"/>
      <w:rPr>
        <w:sz w:val="20"/>
      </w:rPr>
    </w:pPr>
    <w:r>
      <w:rPr>
        <w:sz w:val="20"/>
      </w:rPr>
      <w:t xml:space="preserve">                  </w:t>
    </w:r>
    <w:r w:rsidR="00851410">
      <w:rPr>
        <w:sz w:val="20"/>
      </w:rPr>
      <w:t xml:space="preserve">     </w:t>
    </w:r>
    <w:r w:rsidR="00A302BC" w:rsidRPr="00203DE7">
      <w:rPr>
        <w:sz w:val="20"/>
      </w:rPr>
      <w:t xml:space="preserve">Príloha č. </w:t>
    </w:r>
    <w:r w:rsidR="00E10EEE">
      <w:rPr>
        <w:sz w:val="20"/>
      </w:rPr>
      <w:t>4</w:t>
    </w:r>
    <w:r w:rsidR="000B1F99">
      <w:rPr>
        <w:sz w:val="20"/>
      </w:rPr>
      <w:t xml:space="preserve"> </w:t>
    </w:r>
    <w:r w:rsidR="00C042DD" w:rsidRPr="00203DE7">
      <w:rPr>
        <w:sz w:val="20"/>
      </w:rPr>
      <w:t>Príručky pre žiadateľa</w:t>
    </w:r>
    <w:r w:rsidR="000B1F99">
      <w:rPr>
        <w:sz w:val="20"/>
      </w:rPr>
      <w:t xml:space="preserve"> - </w:t>
    </w:r>
    <w:r w:rsidR="00C042DD" w:rsidRPr="00203DE7">
      <w:rPr>
        <w:sz w:val="20"/>
      </w:rPr>
      <w:t>Zoznam iných údajov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3">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3">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4">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3"/>
  </w:num>
  <w:num w:numId="2">
    <w:abstractNumId w:val="15"/>
  </w:num>
  <w:num w:numId="3">
    <w:abstractNumId w:val="33"/>
  </w:num>
  <w:num w:numId="4">
    <w:abstractNumId w:val="1"/>
  </w:num>
  <w:num w:numId="5">
    <w:abstractNumId w:val="0"/>
  </w:num>
  <w:num w:numId="6">
    <w:abstractNumId w:val="3"/>
  </w:num>
  <w:num w:numId="7">
    <w:abstractNumId w:val="6"/>
  </w:num>
  <w:num w:numId="8">
    <w:abstractNumId w:val="8"/>
  </w:num>
  <w:num w:numId="9">
    <w:abstractNumId w:val="7"/>
  </w:num>
  <w:num w:numId="10">
    <w:abstractNumId w:val="13"/>
  </w:num>
  <w:num w:numId="11">
    <w:abstractNumId w:val="25"/>
  </w:num>
  <w:num w:numId="12">
    <w:abstractNumId w:val="21"/>
  </w:num>
  <w:num w:numId="13">
    <w:abstractNumId w:val="17"/>
  </w:num>
  <w:num w:numId="14">
    <w:abstractNumId w:val="9"/>
  </w:num>
  <w:num w:numId="15">
    <w:abstractNumId w:val="22"/>
  </w:num>
  <w:num w:numId="16">
    <w:abstractNumId w:val="19"/>
  </w:num>
  <w:num w:numId="17">
    <w:abstractNumId w:val="4"/>
  </w:num>
  <w:num w:numId="18">
    <w:abstractNumId w:val="20"/>
  </w:num>
  <w:num w:numId="19">
    <w:abstractNumId w:val="11"/>
  </w:num>
  <w:num w:numId="20">
    <w:abstractNumId w:val="24"/>
  </w:num>
  <w:num w:numId="21">
    <w:abstractNumId w:val="18"/>
  </w:num>
  <w:num w:numId="22">
    <w:abstractNumId w:val="14"/>
  </w:num>
  <w:num w:numId="23">
    <w:abstractNumId w:val="30"/>
  </w:num>
  <w:num w:numId="24">
    <w:abstractNumId w:val="10"/>
  </w:num>
  <w:num w:numId="25">
    <w:abstractNumId w:val="16"/>
  </w:num>
  <w:num w:numId="26">
    <w:abstractNumId w:val="2"/>
  </w:num>
  <w:num w:numId="27">
    <w:abstractNumId w:val="28"/>
  </w:num>
  <w:num w:numId="28">
    <w:abstractNumId w:val="31"/>
  </w:num>
  <w:num w:numId="29">
    <w:abstractNumId w:val="27"/>
  </w:num>
  <w:num w:numId="30">
    <w:abstractNumId w:val="29"/>
  </w:num>
  <w:num w:numId="31">
    <w:abstractNumId w:val="26"/>
  </w:num>
  <w:num w:numId="32">
    <w:abstractNumId w:val="12"/>
  </w:num>
  <w:num w:numId="33">
    <w:abstractNumId w:val="5"/>
  </w:num>
  <w:num w:numId="3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5A4"/>
    <w:rsid w:val="00056EA7"/>
    <w:rsid w:val="0006137D"/>
    <w:rsid w:val="0006361E"/>
    <w:rsid w:val="0006408E"/>
    <w:rsid w:val="00064FE3"/>
    <w:rsid w:val="000655F0"/>
    <w:rsid w:val="00070E08"/>
    <w:rsid w:val="00072E9E"/>
    <w:rsid w:val="00073659"/>
    <w:rsid w:val="00076931"/>
    <w:rsid w:val="000770A6"/>
    <w:rsid w:val="0007792F"/>
    <w:rsid w:val="00080477"/>
    <w:rsid w:val="000811DC"/>
    <w:rsid w:val="0008159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5A"/>
    <w:rsid w:val="000A6236"/>
    <w:rsid w:val="000A7F09"/>
    <w:rsid w:val="000B0722"/>
    <w:rsid w:val="000B1F99"/>
    <w:rsid w:val="000B26C4"/>
    <w:rsid w:val="000B2831"/>
    <w:rsid w:val="000B297C"/>
    <w:rsid w:val="000B2AB2"/>
    <w:rsid w:val="000B50D6"/>
    <w:rsid w:val="000B5747"/>
    <w:rsid w:val="000B6092"/>
    <w:rsid w:val="000B6700"/>
    <w:rsid w:val="000C097D"/>
    <w:rsid w:val="000C32B0"/>
    <w:rsid w:val="000C4760"/>
    <w:rsid w:val="000C51BA"/>
    <w:rsid w:val="000C555B"/>
    <w:rsid w:val="000D0009"/>
    <w:rsid w:val="000D0365"/>
    <w:rsid w:val="000D134A"/>
    <w:rsid w:val="000D137C"/>
    <w:rsid w:val="000D2A1B"/>
    <w:rsid w:val="000D34B7"/>
    <w:rsid w:val="000D7A4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0ECF"/>
    <w:rsid w:val="0010318C"/>
    <w:rsid w:val="00105602"/>
    <w:rsid w:val="00107CDF"/>
    <w:rsid w:val="00112D60"/>
    <w:rsid w:val="00112F9C"/>
    <w:rsid w:val="001133A3"/>
    <w:rsid w:val="00113B44"/>
    <w:rsid w:val="00116A16"/>
    <w:rsid w:val="00121382"/>
    <w:rsid w:val="00121C22"/>
    <w:rsid w:val="00122173"/>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59FB"/>
    <w:rsid w:val="001567E9"/>
    <w:rsid w:val="00156E1F"/>
    <w:rsid w:val="00160F0D"/>
    <w:rsid w:val="00163A6B"/>
    <w:rsid w:val="00172641"/>
    <w:rsid w:val="00173196"/>
    <w:rsid w:val="00176814"/>
    <w:rsid w:val="00177805"/>
    <w:rsid w:val="001804AA"/>
    <w:rsid w:val="001806E9"/>
    <w:rsid w:val="001806EA"/>
    <w:rsid w:val="001810A7"/>
    <w:rsid w:val="00181FD7"/>
    <w:rsid w:val="00182DA3"/>
    <w:rsid w:val="00185B7F"/>
    <w:rsid w:val="001876A6"/>
    <w:rsid w:val="00187CA6"/>
    <w:rsid w:val="0019091B"/>
    <w:rsid w:val="00192F9E"/>
    <w:rsid w:val="0019371B"/>
    <w:rsid w:val="001949C6"/>
    <w:rsid w:val="00194C46"/>
    <w:rsid w:val="00195D30"/>
    <w:rsid w:val="001973B7"/>
    <w:rsid w:val="00197866"/>
    <w:rsid w:val="001A1516"/>
    <w:rsid w:val="001A3D7B"/>
    <w:rsid w:val="001A5956"/>
    <w:rsid w:val="001A680F"/>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E64"/>
    <w:rsid w:val="001D3A6E"/>
    <w:rsid w:val="001D653B"/>
    <w:rsid w:val="001D68D1"/>
    <w:rsid w:val="001E059E"/>
    <w:rsid w:val="001E1689"/>
    <w:rsid w:val="001E185F"/>
    <w:rsid w:val="001E4442"/>
    <w:rsid w:val="001E6DD1"/>
    <w:rsid w:val="001F19D8"/>
    <w:rsid w:val="001F2D8C"/>
    <w:rsid w:val="001F3998"/>
    <w:rsid w:val="001F4B6D"/>
    <w:rsid w:val="001F510C"/>
    <w:rsid w:val="001F56C5"/>
    <w:rsid w:val="001F57BC"/>
    <w:rsid w:val="001F5D7E"/>
    <w:rsid w:val="001F624C"/>
    <w:rsid w:val="001F7245"/>
    <w:rsid w:val="001F73BD"/>
    <w:rsid w:val="001F76BB"/>
    <w:rsid w:val="00201706"/>
    <w:rsid w:val="00202CE5"/>
    <w:rsid w:val="00203882"/>
    <w:rsid w:val="00203DE7"/>
    <w:rsid w:val="002042DF"/>
    <w:rsid w:val="002047B0"/>
    <w:rsid w:val="002055D4"/>
    <w:rsid w:val="0020572F"/>
    <w:rsid w:val="002073B8"/>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B44"/>
    <w:rsid w:val="00230C35"/>
    <w:rsid w:val="0023224F"/>
    <w:rsid w:val="00232661"/>
    <w:rsid w:val="002327E1"/>
    <w:rsid w:val="00232E47"/>
    <w:rsid w:val="00234096"/>
    <w:rsid w:val="00234714"/>
    <w:rsid w:val="00234A8E"/>
    <w:rsid w:val="002355C4"/>
    <w:rsid w:val="00235A55"/>
    <w:rsid w:val="00236B70"/>
    <w:rsid w:val="002408A7"/>
    <w:rsid w:val="0024164B"/>
    <w:rsid w:val="00241B80"/>
    <w:rsid w:val="00241BCA"/>
    <w:rsid w:val="002441C9"/>
    <w:rsid w:val="0024710B"/>
    <w:rsid w:val="00252E9C"/>
    <w:rsid w:val="00253363"/>
    <w:rsid w:val="00254547"/>
    <w:rsid w:val="00255DA1"/>
    <w:rsid w:val="002566B0"/>
    <w:rsid w:val="00256980"/>
    <w:rsid w:val="00260DB0"/>
    <w:rsid w:val="00261D5C"/>
    <w:rsid w:val="0026332A"/>
    <w:rsid w:val="00263A91"/>
    <w:rsid w:val="00263D2C"/>
    <w:rsid w:val="002645A3"/>
    <w:rsid w:val="00264CBD"/>
    <w:rsid w:val="00264CED"/>
    <w:rsid w:val="00265CBE"/>
    <w:rsid w:val="00266BAC"/>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101B"/>
    <w:rsid w:val="002D1D3F"/>
    <w:rsid w:val="002D3A19"/>
    <w:rsid w:val="002D4FE1"/>
    <w:rsid w:val="002D72F3"/>
    <w:rsid w:val="002E11FD"/>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E11"/>
    <w:rsid w:val="00323984"/>
    <w:rsid w:val="00323A22"/>
    <w:rsid w:val="00323EAA"/>
    <w:rsid w:val="00323FA4"/>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900A2"/>
    <w:rsid w:val="003900D5"/>
    <w:rsid w:val="00391A4E"/>
    <w:rsid w:val="003939AD"/>
    <w:rsid w:val="00394095"/>
    <w:rsid w:val="00396770"/>
    <w:rsid w:val="00397900"/>
    <w:rsid w:val="003A19CD"/>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116A"/>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F5"/>
    <w:rsid w:val="003F7DB9"/>
    <w:rsid w:val="00401129"/>
    <w:rsid w:val="004021AB"/>
    <w:rsid w:val="004029E8"/>
    <w:rsid w:val="00403689"/>
    <w:rsid w:val="004051EC"/>
    <w:rsid w:val="00410968"/>
    <w:rsid w:val="00415566"/>
    <w:rsid w:val="00415FCA"/>
    <w:rsid w:val="004205CE"/>
    <w:rsid w:val="00420A65"/>
    <w:rsid w:val="00421AC5"/>
    <w:rsid w:val="00421C17"/>
    <w:rsid w:val="00421C95"/>
    <w:rsid w:val="004225D1"/>
    <w:rsid w:val="00422605"/>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46697"/>
    <w:rsid w:val="0045065C"/>
    <w:rsid w:val="00451085"/>
    <w:rsid w:val="0045132B"/>
    <w:rsid w:val="004513EB"/>
    <w:rsid w:val="0045208D"/>
    <w:rsid w:val="00454011"/>
    <w:rsid w:val="00455B68"/>
    <w:rsid w:val="00456870"/>
    <w:rsid w:val="00457183"/>
    <w:rsid w:val="0046123A"/>
    <w:rsid w:val="004624D1"/>
    <w:rsid w:val="004641B0"/>
    <w:rsid w:val="0046581D"/>
    <w:rsid w:val="004658BD"/>
    <w:rsid w:val="00465E52"/>
    <w:rsid w:val="004720F1"/>
    <w:rsid w:val="0047227B"/>
    <w:rsid w:val="004744B0"/>
    <w:rsid w:val="00474BAA"/>
    <w:rsid w:val="0048005A"/>
    <w:rsid w:val="00481798"/>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7A80"/>
    <w:rsid w:val="004B135B"/>
    <w:rsid w:val="004B24DD"/>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7A9"/>
    <w:rsid w:val="004F528B"/>
    <w:rsid w:val="004F5D9B"/>
    <w:rsid w:val="004F705F"/>
    <w:rsid w:val="004F795B"/>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5B97"/>
    <w:rsid w:val="00516273"/>
    <w:rsid w:val="00516444"/>
    <w:rsid w:val="00516F32"/>
    <w:rsid w:val="005203CB"/>
    <w:rsid w:val="00523480"/>
    <w:rsid w:val="00523683"/>
    <w:rsid w:val="00523BD4"/>
    <w:rsid w:val="00524A0D"/>
    <w:rsid w:val="005256C4"/>
    <w:rsid w:val="00525867"/>
    <w:rsid w:val="00526A82"/>
    <w:rsid w:val="00527A67"/>
    <w:rsid w:val="00527B96"/>
    <w:rsid w:val="00535225"/>
    <w:rsid w:val="005354D8"/>
    <w:rsid w:val="00535662"/>
    <w:rsid w:val="00535C35"/>
    <w:rsid w:val="0053768F"/>
    <w:rsid w:val="00540358"/>
    <w:rsid w:val="0054195B"/>
    <w:rsid w:val="00542398"/>
    <w:rsid w:val="00543D72"/>
    <w:rsid w:val="00544249"/>
    <w:rsid w:val="0054424C"/>
    <w:rsid w:val="00544471"/>
    <w:rsid w:val="00544E03"/>
    <w:rsid w:val="00546075"/>
    <w:rsid w:val="00546547"/>
    <w:rsid w:val="005465F4"/>
    <w:rsid w:val="00551647"/>
    <w:rsid w:val="005527E1"/>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53B6"/>
    <w:rsid w:val="00576E80"/>
    <w:rsid w:val="005773D1"/>
    <w:rsid w:val="00580DFA"/>
    <w:rsid w:val="0058257F"/>
    <w:rsid w:val="00583792"/>
    <w:rsid w:val="00583907"/>
    <w:rsid w:val="00584E92"/>
    <w:rsid w:val="00586770"/>
    <w:rsid w:val="005868DF"/>
    <w:rsid w:val="005868E0"/>
    <w:rsid w:val="005869A3"/>
    <w:rsid w:val="00587370"/>
    <w:rsid w:val="005906FD"/>
    <w:rsid w:val="0059107B"/>
    <w:rsid w:val="00593D0A"/>
    <w:rsid w:val="0059555F"/>
    <w:rsid w:val="00596716"/>
    <w:rsid w:val="005970B1"/>
    <w:rsid w:val="005974BF"/>
    <w:rsid w:val="005A1195"/>
    <w:rsid w:val="005A1991"/>
    <w:rsid w:val="005A208B"/>
    <w:rsid w:val="005A3164"/>
    <w:rsid w:val="005A36BF"/>
    <w:rsid w:val="005A46AB"/>
    <w:rsid w:val="005A4A58"/>
    <w:rsid w:val="005A4AE3"/>
    <w:rsid w:val="005A7363"/>
    <w:rsid w:val="005B1D44"/>
    <w:rsid w:val="005B253C"/>
    <w:rsid w:val="005B3778"/>
    <w:rsid w:val="005B4C3D"/>
    <w:rsid w:val="005B4FE6"/>
    <w:rsid w:val="005B5A8C"/>
    <w:rsid w:val="005C0464"/>
    <w:rsid w:val="005C1ABD"/>
    <w:rsid w:val="005C1E9B"/>
    <w:rsid w:val="005C2890"/>
    <w:rsid w:val="005C4BB4"/>
    <w:rsid w:val="005C4D14"/>
    <w:rsid w:val="005C5930"/>
    <w:rsid w:val="005C5F4F"/>
    <w:rsid w:val="005C63FD"/>
    <w:rsid w:val="005C7128"/>
    <w:rsid w:val="005C78A5"/>
    <w:rsid w:val="005C7E3E"/>
    <w:rsid w:val="005D1754"/>
    <w:rsid w:val="005D286B"/>
    <w:rsid w:val="005D42D2"/>
    <w:rsid w:val="005D4FF4"/>
    <w:rsid w:val="005D5689"/>
    <w:rsid w:val="005D6275"/>
    <w:rsid w:val="005E083E"/>
    <w:rsid w:val="005E1843"/>
    <w:rsid w:val="005E2A67"/>
    <w:rsid w:val="005E2B83"/>
    <w:rsid w:val="005E321A"/>
    <w:rsid w:val="005E4D57"/>
    <w:rsid w:val="005E5139"/>
    <w:rsid w:val="005E5C77"/>
    <w:rsid w:val="005E7A9F"/>
    <w:rsid w:val="005F0373"/>
    <w:rsid w:val="005F2666"/>
    <w:rsid w:val="005F4CC6"/>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3023"/>
    <w:rsid w:val="006330E9"/>
    <w:rsid w:val="0063417E"/>
    <w:rsid w:val="0063429A"/>
    <w:rsid w:val="00635B95"/>
    <w:rsid w:val="006422EB"/>
    <w:rsid w:val="00642FBC"/>
    <w:rsid w:val="006434FF"/>
    <w:rsid w:val="00646064"/>
    <w:rsid w:val="00646AFE"/>
    <w:rsid w:val="00647BCE"/>
    <w:rsid w:val="00647CB8"/>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72F8"/>
    <w:rsid w:val="00681F90"/>
    <w:rsid w:val="00684C2F"/>
    <w:rsid w:val="00685473"/>
    <w:rsid w:val="00686048"/>
    <w:rsid w:val="0068796C"/>
    <w:rsid w:val="00690C7C"/>
    <w:rsid w:val="006925DC"/>
    <w:rsid w:val="00693B71"/>
    <w:rsid w:val="00694917"/>
    <w:rsid w:val="00694A68"/>
    <w:rsid w:val="00695150"/>
    <w:rsid w:val="00696A81"/>
    <w:rsid w:val="00696AD4"/>
    <w:rsid w:val="00697AD2"/>
    <w:rsid w:val="006A0A7C"/>
    <w:rsid w:val="006A473F"/>
    <w:rsid w:val="006B6694"/>
    <w:rsid w:val="006B6C01"/>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E5E22"/>
    <w:rsid w:val="006F09B1"/>
    <w:rsid w:val="006F0EB0"/>
    <w:rsid w:val="006F1700"/>
    <w:rsid w:val="006F2976"/>
    <w:rsid w:val="006F48A8"/>
    <w:rsid w:val="006F5E00"/>
    <w:rsid w:val="006F6CE3"/>
    <w:rsid w:val="00700AC4"/>
    <w:rsid w:val="00700C77"/>
    <w:rsid w:val="00701DA3"/>
    <w:rsid w:val="007040BD"/>
    <w:rsid w:val="007049A7"/>
    <w:rsid w:val="00706972"/>
    <w:rsid w:val="007071BD"/>
    <w:rsid w:val="0070769F"/>
    <w:rsid w:val="00710DDE"/>
    <w:rsid w:val="00710FDA"/>
    <w:rsid w:val="00711A2A"/>
    <w:rsid w:val="00712042"/>
    <w:rsid w:val="00712741"/>
    <w:rsid w:val="007138A9"/>
    <w:rsid w:val="00714614"/>
    <w:rsid w:val="00716A3E"/>
    <w:rsid w:val="00721ACF"/>
    <w:rsid w:val="0072213C"/>
    <w:rsid w:val="00722E96"/>
    <w:rsid w:val="00722EF6"/>
    <w:rsid w:val="0072300E"/>
    <w:rsid w:val="00726D2B"/>
    <w:rsid w:val="00727C26"/>
    <w:rsid w:val="0073046A"/>
    <w:rsid w:val="007318B5"/>
    <w:rsid w:val="0073195A"/>
    <w:rsid w:val="00731B6B"/>
    <w:rsid w:val="007329F8"/>
    <w:rsid w:val="00732D48"/>
    <w:rsid w:val="007333F6"/>
    <w:rsid w:val="0073549D"/>
    <w:rsid w:val="00736CF4"/>
    <w:rsid w:val="00740288"/>
    <w:rsid w:val="00740786"/>
    <w:rsid w:val="0074082E"/>
    <w:rsid w:val="007416E8"/>
    <w:rsid w:val="007417B3"/>
    <w:rsid w:val="007457A9"/>
    <w:rsid w:val="007457AD"/>
    <w:rsid w:val="00751E77"/>
    <w:rsid w:val="00752DC1"/>
    <w:rsid w:val="00755D56"/>
    <w:rsid w:val="00755F96"/>
    <w:rsid w:val="007567AA"/>
    <w:rsid w:val="007568F4"/>
    <w:rsid w:val="00757149"/>
    <w:rsid w:val="00760139"/>
    <w:rsid w:val="00762BBE"/>
    <w:rsid w:val="00763210"/>
    <w:rsid w:val="007632F7"/>
    <w:rsid w:val="007647B1"/>
    <w:rsid w:val="0076674D"/>
    <w:rsid w:val="00771F25"/>
    <w:rsid w:val="00772ADF"/>
    <w:rsid w:val="007737D7"/>
    <w:rsid w:val="007738F7"/>
    <w:rsid w:val="0077442F"/>
    <w:rsid w:val="007772B6"/>
    <w:rsid w:val="0078034C"/>
    <w:rsid w:val="007810DB"/>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3098"/>
    <w:rsid w:val="007B43C5"/>
    <w:rsid w:val="007B6A64"/>
    <w:rsid w:val="007C04C9"/>
    <w:rsid w:val="007C1C1E"/>
    <w:rsid w:val="007C326A"/>
    <w:rsid w:val="007C41A3"/>
    <w:rsid w:val="007C49FB"/>
    <w:rsid w:val="007C5102"/>
    <w:rsid w:val="007C78F6"/>
    <w:rsid w:val="007D13C9"/>
    <w:rsid w:val="007D53FF"/>
    <w:rsid w:val="007D5B9B"/>
    <w:rsid w:val="007D64B4"/>
    <w:rsid w:val="007D6A56"/>
    <w:rsid w:val="007E112C"/>
    <w:rsid w:val="007E3453"/>
    <w:rsid w:val="007E35EE"/>
    <w:rsid w:val="007E3B7B"/>
    <w:rsid w:val="007E3D8A"/>
    <w:rsid w:val="007E57CB"/>
    <w:rsid w:val="007E5DF9"/>
    <w:rsid w:val="007E617E"/>
    <w:rsid w:val="007E6271"/>
    <w:rsid w:val="007F301A"/>
    <w:rsid w:val="007F359B"/>
    <w:rsid w:val="007F52B0"/>
    <w:rsid w:val="0080065B"/>
    <w:rsid w:val="00800CF8"/>
    <w:rsid w:val="00801A8F"/>
    <w:rsid w:val="0080215B"/>
    <w:rsid w:val="008048A5"/>
    <w:rsid w:val="0080529D"/>
    <w:rsid w:val="008062CB"/>
    <w:rsid w:val="00806ACD"/>
    <w:rsid w:val="00806D10"/>
    <w:rsid w:val="0081016C"/>
    <w:rsid w:val="0081289C"/>
    <w:rsid w:val="00813C6C"/>
    <w:rsid w:val="00813FA7"/>
    <w:rsid w:val="00814E9A"/>
    <w:rsid w:val="00823B00"/>
    <w:rsid w:val="008245B9"/>
    <w:rsid w:val="008254D4"/>
    <w:rsid w:val="00825D5C"/>
    <w:rsid w:val="00827936"/>
    <w:rsid w:val="00830573"/>
    <w:rsid w:val="00831CF8"/>
    <w:rsid w:val="00832028"/>
    <w:rsid w:val="00832EAD"/>
    <w:rsid w:val="00832F4E"/>
    <w:rsid w:val="00833D4D"/>
    <w:rsid w:val="00837F0C"/>
    <w:rsid w:val="00841515"/>
    <w:rsid w:val="00841F8A"/>
    <w:rsid w:val="00842167"/>
    <w:rsid w:val="0084223E"/>
    <w:rsid w:val="008422F8"/>
    <w:rsid w:val="00843AB0"/>
    <w:rsid w:val="00843C1B"/>
    <w:rsid w:val="008462FE"/>
    <w:rsid w:val="0084746A"/>
    <w:rsid w:val="00851410"/>
    <w:rsid w:val="008514FE"/>
    <w:rsid w:val="008555F7"/>
    <w:rsid w:val="00856848"/>
    <w:rsid w:val="00861FBA"/>
    <w:rsid w:val="008621A7"/>
    <w:rsid w:val="00862B1B"/>
    <w:rsid w:val="00865166"/>
    <w:rsid w:val="008663F9"/>
    <w:rsid w:val="00866E72"/>
    <w:rsid w:val="008672C7"/>
    <w:rsid w:val="00870417"/>
    <w:rsid w:val="0087121B"/>
    <w:rsid w:val="0087201F"/>
    <w:rsid w:val="00873029"/>
    <w:rsid w:val="008735AD"/>
    <w:rsid w:val="0087497A"/>
    <w:rsid w:val="00876FA8"/>
    <w:rsid w:val="008803EE"/>
    <w:rsid w:val="00880EB6"/>
    <w:rsid w:val="00885249"/>
    <w:rsid w:val="008863BF"/>
    <w:rsid w:val="00886DA5"/>
    <w:rsid w:val="00886FE3"/>
    <w:rsid w:val="00891300"/>
    <w:rsid w:val="008923E3"/>
    <w:rsid w:val="0089274D"/>
    <w:rsid w:val="00894D18"/>
    <w:rsid w:val="00897B69"/>
    <w:rsid w:val="008A0AE8"/>
    <w:rsid w:val="008A11BD"/>
    <w:rsid w:val="008A2593"/>
    <w:rsid w:val="008A3872"/>
    <w:rsid w:val="008A425D"/>
    <w:rsid w:val="008A5A2D"/>
    <w:rsid w:val="008A797E"/>
    <w:rsid w:val="008B038C"/>
    <w:rsid w:val="008B1F4D"/>
    <w:rsid w:val="008B255F"/>
    <w:rsid w:val="008B4381"/>
    <w:rsid w:val="008B4450"/>
    <w:rsid w:val="008B6284"/>
    <w:rsid w:val="008B6B79"/>
    <w:rsid w:val="008B6C8D"/>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F2"/>
    <w:rsid w:val="008D7711"/>
    <w:rsid w:val="008E37B3"/>
    <w:rsid w:val="008E4EB4"/>
    <w:rsid w:val="008E66BF"/>
    <w:rsid w:val="008E6925"/>
    <w:rsid w:val="008E6B93"/>
    <w:rsid w:val="008E6D8E"/>
    <w:rsid w:val="008E7349"/>
    <w:rsid w:val="008E7425"/>
    <w:rsid w:val="008F1321"/>
    <w:rsid w:val="008F2F2B"/>
    <w:rsid w:val="008F306A"/>
    <w:rsid w:val="009008CC"/>
    <w:rsid w:val="00902C45"/>
    <w:rsid w:val="00903C4D"/>
    <w:rsid w:val="009056DE"/>
    <w:rsid w:val="00905737"/>
    <w:rsid w:val="00906C3A"/>
    <w:rsid w:val="00906C43"/>
    <w:rsid w:val="009129DD"/>
    <w:rsid w:val="009136D8"/>
    <w:rsid w:val="009138A1"/>
    <w:rsid w:val="00914835"/>
    <w:rsid w:val="00916F49"/>
    <w:rsid w:val="00920B13"/>
    <w:rsid w:val="00921730"/>
    <w:rsid w:val="00922FDD"/>
    <w:rsid w:val="00923607"/>
    <w:rsid w:val="00923DED"/>
    <w:rsid w:val="00924BB3"/>
    <w:rsid w:val="00926440"/>
    <w:rsid w:val="009266A5"/>
    <w:rsid w:val="00926FB6"/>
    <w:rsid w:val="00927601"/>
    <w:rsid w:val="00927AFC"/>
    <w:rsid w:val="00927F14"/>
    <w:rsid w:val="00927FE8"/>
    <w:rsid w:val="009302A2"/>
    <w:rsid w:val="009307DA"/>
    <w:rsid w:val="009334F1"/>
    <w:rsid w:val="00935E7B"/>
    <w:rsid w:val="0093678B"/>
    <w:rsid w:val="00940B0F"/>
    <w:rsid w:val="00942D2B"/>
    <w:rsid w:val="00943B62"/>
    <w:rsid w:val="00944609"/>
    <w:rsid w:val="00944C4C"/>
    <w:rsid w:val="0094619C"/>
    <w:rsid w:val="009469FC"/>
    <w:rsid w:val="009470B4"/>
    <w:rsid w:val="009506CB"/>
    <w:rsid w:val="00950988"/>
    <w:rsid w:val="00951595"/>
    <w:rsid w:val="009520C3"/>
    <w:rsid w:val="00955E83"/>
    <w:rsid w:val="00956C97"/>
    <w:rsid w:val="009609A0"/>
    <w:rsid w:val="0096171B"/>
    <w:rsid w:val="00971B50"/>
    <w:rsid w:val="00973FF9"/>
    <w:rsid w:val="00974DC9"/>
    <w:rsid w:val="009755B7"/>
    <w:rsid w:val="00975E20"/>
    <w:rsid w:val="0097635D"/>
    <w:rsid w:val="009806FC"/>
    <w:rsid w:val="00980823"/>
    <w:rsid w:val="0098173E"/>
    <w:rsid w:val="00981C19"/>
    <w:rsid w:val="009834EA"/>
    <w:rsid w:val="0098726A"/>
    <w:rsid w:val="00991650"/>
    <w:rsid w:val="00992562"/>
    <w:rsid w:val="009936C7"/>
    <w:rsid w:val="00994726"/>
    <w:rsid w:val="00994DAE"/>
    <w:rsid w:val="00997E09"/>
    <w:rsid w:val="009A151B"/>
    <w:rsid w:val="009A2E21"/>
    <w:rsid w:val="009A32EF"/>
    <w:rsid w:val="009A422D"/>
    <w:rsid w:val="009A5ED7"/>
    <w:rsid w:val="009A64E1"/>
    <w:rsid w:val="009A7C2C"/>
    <w:rsid w:val="009B0CA9"/>
    <w:rsid w:val="009B0E17"/>
    <w:rsid w:val="009B17FE"/>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35CF"/>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843"/>
    <w:rsid w:val="009F4AD3"/>
    <w:rsid w:val="009F7BA6"/>
    <w:rsid w:val="00A017F8"/>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32C2"/>
    <w:rsid w:val="00A433D1"/>
    <w:rsid w:val="00A43485"/>
    <w:rsid w:val="00A44725"/>
    <w:rsid w:val="00A44F86"/>
    <w:rsid w:val="00A458AF"/>
    <w:rsid w:val="00A45BE5"/>
    <w:rsid w:val="00A50BF9"/>
    <w:rsid w:val="00A51395"/>
    <w:rsid w:val="00A52621"/>
    <w:rsid w:val="00A52A55"/>
    <w:rsid w:val="00A53CDB"/>
    <w:rsid w:val="00A56914"/>
    <w:rsid w:val="00A614EE"/>
    <w:rsid w:val="00A62810"/>
    <w:rsid w:val="00A64EC9"/>
    <w:rsid w:val="00A65A29"/>
    <w:rsid w:val="00A67BCB"/>
    <w:rsid w:val="00A711AE"/>
    <w:rsid w:val="00A71D95"/>
    <w:rsid w:val="00A72C30"/>
    <w:rsid w:val="00A7350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3580"/>
    <w:rsid w:val="00A940D4"/>
    <w:rsid w:val="00A95E3F"/>
    <w:rsid w:val="00A96CED"/>
    <w:rsid w:val="00AA1F91"/>
    <w:rsid w:val="00AA3E8F"/>
    <w:rsid w:val="00AA56F6"/>
    <w:rsid w:val="00AA5EB1"/>
    <w:rsid w:val="00AA5EDD"/>
    <w:rsid w:val="00AA62FC"/>
    <w:rsid w:val="00AA7F08"/>
    <w:rsid w:val="00AB0F39"/>
    <w:rsid w:val="00AB19E3"/>
    <w:rsid w:val="00AB3A4D"/>
    <w:rsid w:val="00AB3C53"/>
    <w:rsid w:val="00AB5F56"/>
    <w:rsid w:val="00AC11E2"/>
    <w:rsid w:val="00AC4700"/>
    <w:rsid w:val="00AC5833"/>
    <w:rsid w:val="00AC6320"/>
    <w:rsid w:val="00AC6545"/>
    <w:rsid w:val="00AC68F5"/>
    <w:rsid w:val="00AC6983"/>
    <w:rsid w:val="00AC6A18"/>
    <w:rsid w:val="00AC7ED6"/>
    <w:rsid w:val="00AD1791"/>
    <w:rsid w:val="00AD2EBE"/>
    <w:rsid w:val="00AD4D18"/>
    <w:rsid w:val="00AE0975"/>
    <w:rsid w:val="00AE3699"/>
    <w:rsid w:val="00AE6B0E"/>
    <w:rsid w:val="00AE6E8B"/>
    <w:rsid w:val="00AE78CF"/>
    <w:rsid w:val="00AF015A"/>
    <w:rsid w:val="00AF0255"/>
    <w:rsid w:val="00AF16C5"/>
    <w:rsid w:val="00AF1939"/>
    <w:rsid w:val="00AF22EF"/>
    <w:rsid w:val="00AF52F5"/>
    <w:rsid w:val="00AF5B6E"/>
    <w:rsid w:val="00AF79D5"/>
    <w:rsid w:val="00B0073C"/>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6BCC"/>
    <w:rsid w:val="00B278A7"/>
    <w:rsid w:val="00B311A4"/>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088C"/>
    <w:rsid w:val="00B5100C"/>
    <w:rsid w:val="00B54E0E"/>
    <w:rsid w:val="00B56130"/>
    <w:rsid w:val="00B568C8"/>
    <w:rsid w:val="00B609B2"/>
    <w:rsid w:val="00B6157A"/>
    <w:rsid w:val="00B65497"/>
    <w:rsid w:val="00B65E48"/>
    <w:rsid w:val="00B66049"/>
    <w:rsid w:val="00B66379"/>
    <w:rsid w:val="00B663AA"/>
    <w:rsid w:val="00B673D4"/>
    <w:rsid w:val="00B67E9A"/>
    <w:rsid w:val="00B706B6"/>
    <w:rsid w:val="00B720C3"/>
    <w:rsid w:val="00B72C21"/>
    <w:rsid w:val="00B7353D"/>
    <w:rsid w:val="00B766C0"/>
    <w:rsid w:val="00B77015"/>
    <w:rsid w:val="00B77458"/>
    <w:rsid w:val="00B7792A"/>
    <w:rsid w:val="00B805E3"/>
    <w:rsid w:val="00B811EA"/>
    <w:rsid w:val="00B840C7"/>
    <w:rsid w:val="00B85396"/>
    <w:rsid w:val="00B85900"/>
    <w:rsid w:val="00B87CD7"/>
    <w:rsid w:val="00B902F2"/>
    <w:rsid w:val="00B91BBD"/>
    <w:rsid w:val="00B92908"/>
    <w:rsid w:val="00B92EE0"/>
    <w:rsid w:val="00B9674B"/>
    <w:rsid w:val="00B97332"/>
    <w:rsid w:val="00BA2C4F"/>
    <w:rsid w:val="00BA2F3A"/>
    <w:rsid w:val="00BA4F5E"/>
    <w:rsid w:val="00BA6B8A"/>
    <w:rsid w:val="00BA7127"/>
    <w:rsid w:val="00BB01DC"/>
    <w:rsid w:val="00BB254F"/>
    <w:rsid w:val="00BB30C2"/>
    <w:rsid w:val="00BB3B0B"/>
    <w:rsid w:val="00BB5909"/>
    <w:rsid w:val="00BB5B56"/>
    <w:rsid w:val="00BB6112"/>
    <w:rsid w:val="00BB642B"/>
    <w:rsid w:val="00BB7202"/>
    <w:rsid w:val="00BC1341"/>
    <w:rsid w:val="00BC1A75"/>
    <w:rsid w:val="00BC4D65"/>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7441"/>
    <w:rsid w:val="00BE7D64"/>
    <w:rsid w:val="00BF0ADF"/>
    <w:rsid w:val="00BF0C2E"/>
    <w:rsid w:val="00BF0D3A"/>
    <w:rsid w:val="00BF2630"/>
    <w:rsid w:val="00BF3209"/>
    <w:rsid w:val="00BF3A1D"/>
    <w:rsid w:val="00BF679A"/>
    <w:rsid w:val="00BF6C35"/>
    <w:rsid w:val="00C02116"/>
    <w:rsid w:val="00C042DD"/>
    <w:rsid w:val="00C05257"/>
    <w:rsid w:val="00C06030"/>
    <w:rsid w:val="00C06EC6"/>
    <w:rsid w:val="00C07721"/>
    <w:rsid w:val="00C1017A"/>
    <w:rsid w:val="00C10C19"/>
    <w:rsid w:val="00C11D4A"/>
    <w:rsid w:val="00C1243E"/>
    <w:rsid w:val="00C13E67"/>
    <w:rsid w:val="00C144B6"/>
    <w:rsid w:val="00C148EA"/>
    <w:rsid w:val="00C1631B"/>
    <w:rsid w:val="00C16EFB"/>
    <w:rsid w:val="00C174C9"/>
    <w:rsid w:val="00C17B70"/>
    <w:rsid w:val="00C17DE6"/>
    <w:rsid w:val="00C20E06"/>
    <w:rsid w:val="00C21380"/>
    <w:rsid w:val="00C22209"/>
    <w:rsid w:val="00C3162D"/>
    <w:rsid w:val="00C32495"/>
    <w:rsid w:val="00C328E2"/>
    <w:rsid w:val="00C33FA9"/>
    <w:rsid w:val="00C362E6"/>
    <w:rsid w:val="00C37214"/>
    <w:rsid w:val="00C37D62"/>
    <w:rsid w:val="00C428C5"/>
    <w:rsid w:val="00C44E70"/>
    <w:rsid w:val="00C464DD"/>
    <w:rsid w:val="00C500F4"/>
    <w:rsid w:val="00C53B90"/>
    <w:rsid w:val="00C53DE4"/>
    <w:rsid w:val="00C5482E"/>
    <w:rsid w:val="00C5584A"/>
    <w:rsid w:val="00C57F40"/>
    <w:rsid w:val="00C61142"/>
    <w:rsid w:val="00C61397"/>
    <w:rsid w:val="00C614E6"/>
    <w:rsid w:val="00C62511"/>
    <w:rsid w:val="00C630E8"/>
    <w:rsid w:val="00C63C4B"/>
    <w:rsid w:val="00C63E1C"/>
    <w:rsid w:val="00C6473E"/>
    <w:rsid w:val="00C64880"/>
    <w:rsid w:val="00C664BB"/>
    <w:rsid w:val="00C66618"/>
    <w:rsid w:val="00C6674F"/>
    <w:rsid w:val="00C67D92"/>
    <w:rsid w:val="00C7099A"/>
    <w:rsid w:val="00C71EEC"/>
    <w:rsid w:val="00C72742"/>
    <w:rsid w:val="00C73D5E"/>
    <w:rsid w:val="00C754A5"/>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381"/>
    <w:rsid w:val="00CF09D2"/>
    <w:rsid w:val="00CF0CA4"/>
    <w:rsid w:val="00CF12CD"/>
    <w:rsid w:val="00CF2B72"/>
    <w:rsid w:val="00CF3D73"/>
    <w:rsid w:val="00CF69C8"/>
    <w:rsid w:val="00D00ECE"/>
    <w:rsid w:val="00D0189B"/>
    <w:rsid w:val="00D04CF7"/>
    <w:rsid w:val="00D0534A"/>
    <w:rsid w:val="00D056BE"/>
    <w:rsid w:val="00D05C70"/>
    <w:rsid w:val="00D05E9C"/>
    <w:rsid w:val="00D05FDB"/>
    <w:rsid w:val="00D078CB"/>
    <w:rsid w:val="00D12479"/>
    <w:rsid w:val="00D16A4E"/>
    <w:rsid w:val="00D17063"/>
    <w:rsid w:val="00D203AD"/>
    <w:rsid w:val="00D209CA"/>
    <w:rsid w:val="00D21688"/>
    <w:rsid w:val="00D21798"/>
    <w:rsid w:val="00D2225F"/>
    <w:rsid w:val="00D223F9"/>
    <w:rsid w:val="00D24902"/>
    <w:rsid w:val="00D24B7D"/>
    <w:rsid w:val="00D2510D"/>
    <w:rsid w:val="00D32FD9"/>
    <w:rsid w:val="00D359B1"/>
    <w:rsid w:val="00D36E75"/>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350C"/>
    <w:rsid w:val="00D73792"/>
    <w:rsid w:val="00D746E5"/>
    <w:rsid w:val="00D75714"/>
    <w:rsid w:val="00D75CC2"/>
    <w:rsid w:val="00D7620B"/>
    <w:rsid w:val="00D7701C"/>
    <w:rsid w:val="00D77530"/>
    <w:rsid w:val="00D8004E"/>
    <w:rsid w:val="00D8032A"/>
    <w:rsid w:val="00D82049"/>
    <w:rsid w:val="00D8376C"/>
    <w:rsid w:val="00D84353"/>
    <w:rsid w:val="00D85CE9"/>
    <w:rsid w:val="00D8622E"/>
    <w:rsid w:val="00D909D0"/>
    <w:rsid w:val="00D915CD"/>
    <w:rsid w:val="00D91A3C"/>
    <w:rsid w:val="00D9489E"/>
    <w:rsid w:val="00D94DBB"/>
    <w:rsid w:val="00D97569"/>
    <w:rsid w:val="00DA1BFE"/>
    <w:rsid w:val="00DA1D00"/>
    <w:rsid w:val="00DA20FB"/>
    <w:rsid w:val="00DA22DA"/>
    <w:rsid w:val="00DA2FC5"/>
    <w:rsid w:val="00DA4EAF"/>
    <w:rsid w:val="00DA55A9"/>
    <w:rsid w:val="00DA5749"/>
    <w:rsid w:val="00DA582F"/>
    <w:rsid w:val="00DA66F4"/>
    <w:rsid w:val="00DA7149"/>
    <w:rsid w:val="00DA782C"/>
    <w:rsid w:val="00DB462C"/>
    <w:rsid w:val="00DB5473"/>
    <w:rsid w:val="00DB64F5"/>
    <w:rsid w:val="00DB6AE0"/>
    <w:rsid w:val="00DC09FD"/>
    <w:rsid w:val="00DC3EE8"/>
    <w:rsid w:val="00DC41B2"/>
    <w:rsid w:val="00DC5A1D"/>
    <w:rsid w:val="00DC6BE6"/>
    <w:rsid w:val="00DD17ED"/>
    <w:rsid w:val="00DD2465"/>
    <w:rsid w:val="00DD4833"/>
    <w:rsid w:val="00DD5D8C"/>
    <w:rsid w:val="00DD67D1"/>
    <w:rsid w:val="00DE0ED3"/>
    <w:rsid w:val="00DE218A"/>
    <w:rsid w:val="00DE5877"/>
    <w:rsid w:val="00DE6551"/>
    <w:rsid w:val="00DE6C50"/>
    <w:rsid w:val="00DF0A33"/>
    <w:rsid w:val="00DF0E81"/>
    <w:rsid w:val="00DF14D6"/>
    <w:rsid w:val="00DF3F75"/>
    <w:rsid w:val="00DF5614"/>
    <w:rsid w:val="00DF68F0"/>
    <w:rsid w:val="00DF6E0F"/>
    <w:rsid w:val="00E030B1"/>
    <w:rsid w:val="00E03777"/>
    <w:rsid w:val="00E03E0C"/>
    <w:rsid w:val="00E04B80"/>
    <w:rsid w:val="00E052C9"/>
    <w:rsid w:val="00E05E5F"/>
    <w:rsid w:val="00E07E49"/>
    <w:rsid w:val="00E10B6C"/>
    <w:rsid w:val="00E10EEE"/>
    <w:rsid w:val="00E10F4D"/>
    <w:rsid w:val="00E12408"/>
    <w:rsid w:val="00E136AA"/>
    <w:rsid w:val="00E139CF"/>
    <w:rsid w:val="00E13EBC"/>
    <w:rsid w:val="00E14422"/>
    <w:rsid w:val="00E14E9F"/>
    <w:rsid w:val="00E203DD"/>
    <w:rsid w:val="00E24031"/>
    <w:rsid w:val="00E26B39"/>
    <w:rsid w:val="00E2715B"/>
    <w:rsid w:val="00E272B8"/>
    <w:rsid w:val="00E30527"/>
    <w:rsid w:val="00E30990"/>
    <w:rsid w:val="00E3252F"/>
    <w:rsid w:val="00E32601"/>
    <w:rsid w:val="00E3332C"/>
    <w:rsid w:val="00E3457B"/>
    <w:rsid w:val="00E34753"/>
    <w:rsid w:val="00E362E5"/>
    <w:rsid w:val="00E40230"/>
    <w:rsid w:val="00E46408"/>
    <w:rsid w:val="00E504EB"/>
    <w:rsid w:val="00E51872"/>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6D44"/>
    <w:rsid w:val="00EB0122"/>
    <w:rsid w:val="00EB2272"/>
    <w:rsid w:val="00EB2897"/>
    <w:rsid w:val="00EB2898"/>
    <w:rsid w:val="00EB5AE8"/>
    <w:rsid w:val="00EB5BBA"/>
    <w:rsid w:val="00EB78E4"/>
    <w:rsid w:val="00EB7B3A"/>
    <w:rsid w:val="00EB7BB9"/>
    <w:rsid w:val="00EC21A2"/>
    <w:rsid w:val="00EC21A5"/>
    <w:rsid w:val="00EC2553"/>
    <w:rsid w:val="00EC47F8"/>
    <w:rsid w:val="00EC5417"/>
    <w:rsid w:val="00EC6E73"/>
    <w:rsid w:val="00EC7307"/>
    <w:rsid w:val="00EC7EF1"/>
    <w:rsid w:val="00ED2317"/>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F0154F"/>
    <w:rsid w:val="00F02B19"/>
    <w:rsid w:val="00F031F8"/>
    <w:rsid w:val="00F0325F"/>
    <w:rsid w:val="00F03657"/>
    <w:rsid w:val="00F042D0"/>
    <w:rsid w:val="00F051E3"/>
    <w:rsid w:val="00F05E3C"/>
    <w:rsid w:val="00F064A3"/>
    <w:rsid w:val="00F06AA0"/>
    <w:rsid w:val="00F10CD6"/>
    <w:rsid w:val="00F11612"/>
    <w:rsid w:val="00F11CD6"/>
    <w:rsid w:val="00F11D43"/>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2F58"/>
    <w:rsid w:val="00F4387D"/>
    <w:rsid w:val="00F4449D"/>
    <w:rsid w:val="00F462EF"/>
    <w:rsid w:val="00F46759"/>
    <w:rsid w:val="00F4777B"/>
    <w:rsid w:val="00F47842"/>
    <w:rsid w:val="00F50E42"/>
    <w:rsid w:val="00F513FA"/>
    <w:rsid w:val="00F5299B"/>
    <w:rsid w:val="00F53C06"/>
    <w:rsid w:val="00F54CFB"/>
    <w:rsid w:val="00F54D39"/>
    <w:rsid w:val="00F55F31"/>
    <w:rsid w:val="00F5620C"/>
    <w:rsid w:val="00F56F50"/>
    <w:rsid w:val="00F57C71"/>
    <w:rsid w:val="00F60A79"/>
    <w:rsid w:val="00F60F84"/>
    <w:rsid w:val="00F65116"/>
    <w:rsid w:val="00F65799"/>
    <w:rsid w:val="00F669C2"/>
    <w:rsid w:val="00F674AE"/>
    <w:rsid w:val="00F67BE6"/>
    <w:rsid w:val="00F70D1A"/>
    <w:rsid w:val="00F71F6C"/>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79A"/>
    <w:rsid w:val="00F9395A"/>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5EAA"/>
    <w:rsid w:val="00FB792C"/>
    <w:rsid w:val="00FB7A71"/>
    <w:rsid w:val="00FC137B"/>
    <w:rsid w:val="00FC28DE"/>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0FEF"/>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709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464540569">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41036378">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CA48-8CA5-46FA-AF8C-A11A7C3F6F94}">
  <ds:schemaRefs>
    <ds:schemaRef ds:uri="http://schemas.microsoft.com/office/2006/documentManagement/types"/>
    <ds:schemaRef ds:uri="http://www.w3.org/XML/1998/namespace"/>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141D6BB-CFB4-4EE6-9ED7-0CD22F3D8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E5A8B77-6945-49D5-898C-14A86ECDEC34}">
  <ds:schemaRefs>
    <ds:schemaRef ds:uri="http://schemas.microsoft.com/sharepoint/v3/contenttype/forms"/>
  </ds:schemaRefs>
</ds:datastoreItem>
</file>

<file path=customXml/itemProps4.xml><?xml version="1.0" encoding="utf-8"?>
<ds:datastoreItem xmlns:ds="http://schemas.openxmlformats.org/officeDocument/2006/customXml" ds:itemID="{BA8789D2-42B4-4BB8-BF78-7C9EF652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1997</Words>
  <Characters>13083</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2017-05-25T08:40:00Z</dcterms:created>
  <dcterms:modified xsi:type="dcterms:W3CDTF">2019-02-14T12:16:00Z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