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</w:p>
    <w:p w14:paraId="6E2E7DD0" w14:textId="668964B7" w:rsidR="00174F58" w:rsidRPr="00526EF8" w:rsidRDefault="00DF248B" w:rsidP="00DF248B">
      <w:pPr>
        <w:jc w:val="right"/>
        <w:rPr>
          <w:rFonts w:cs="Arial"/>
          <w:b/>
          <w:szCs w:val="19"/>
        </w:rPr>
      </w:pPr>
      <w:proofErr w:type="spellStart"/>
      <w:r w:rsidRPr="00526EF8">
        <w:rPr>
          <w:rFonts w:cs="Arial"/>
          <w:b/>
          <w:szCs w:val="19"/>
        </w:rPr>
        <w:t>Príloha</w:t>
      </w:r>
      <w:proofErr w:type="spellEnd"/>
      <w:r w:rsidRPr="00526EF8">
        <w:rPr>
          <w:rFonts w:cs="Arial"/>
          <w:b/>
          <w:szCs w:val="19"/>
        </w:rPr>
        <w:t xml:space="preserve"> č. 12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proofErr w:type="spellStart"/>
      <w:r w:rsidRPr="009461D6">
        <w:rPr>
          <w:rFonts w:asciiTheme="minorHAnsi" w:hAnsiTheme="minorHAnsi" w:cstheme="minorHAnsi"/>
          <w:b/>
          <w:sz w:val="24"/>
        </w:rPr>
        <w:t>Rizikové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indikátory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k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možným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porušeniam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zákona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o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ochrane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hospodárskej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súťaže</w:t>
      </w:r>
      <w:proofErr w:type="spellEnd"/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Rizikové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ďalej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uvedené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neznamenajú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sami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dôkaz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alebo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však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situáciami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zvyšujú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pravdepodobnosť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rámci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daného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zadávania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zákazky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mohlo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dôjsť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k </w:t>
      </w:r>
      <w:proofErr w:type="spellStart"/>
      <w:r w:rsidRPr="00DF248B">
        <w:rPr>
          <w:rFonts w:asciiTheme="minorHAnsi" w:hAnsiTheme="minorHAnsi" w:cstheme="minorHAnsi"/>
          <w:sz w:val="22"/>
        </w:rPr>
        <w:t>protiprávnemu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konaniu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DF248B">
        <w:rPr>
          <w:rFonts w:asciiTheme="minorHAnsi" w:hAnsiTheme="minorHAnsi" w:cstheme="minorHAnsi"/>
          <w:sz w:val="22"/>
        </w:rPr>
        <w:t>Pokiaľ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určitý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znamená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ZVO, </w:t>
      </w:r>
      <w:proofErr w:type="spellStart"/>
      <w:r w:rsidRPr="00DF248B">
        <w:rPr>
          <w:rFonts w:asciiTheme="minorHAnsi" w:hAnsiTheme="minorHAnsi" w:cstheme="minorHAnsi"/>
          <w:sz w:val="22"/>
        </w:rPr>
        <w:t>nepotvrdenie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skutočnosti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nemá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vplyv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konštatovanie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Tento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je </w:t>
      </w:r>
      <w:proofErr w:type="spellStart"/>
      <w:r w:rsidRPr="00DF248B">
        <w:rPr>
          <w:rFonts w:asciiTheme="minorHAnsi" w:hAnsiTheme="minorHAnsi" w:cstheme="minorHAnsi"/>
          <w:sz w:val="22"/>
        </w:rPr>
        <w:t>vyčerpávajúcim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súhrnom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všetkých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Odporúčame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prijímateľovi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resp. </w:t>
      </w:r>
      <w:proofErr w:type="spellStart"/>
      <w:r w:rsidRPr="00DF248B">
        <w:rPr>
          <w:rFonts w:asciiTheme="minorHAnsi" w:hAnsiTheme="minorHAnsi" w:cstheme="minorHAnsi"/>
          <w:sz w:val="22"/>
        </w:rPr>
        <w:t>osobám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poveril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výkonom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VO a </w:t>
      </w:r>
      <w:proofErr w:type="spellStart"/>
      <w:r w:rsidRPr="00DF248B">
        <w:rPr>
          <w:rFonts w:asciiTheme="minorHAnsi" w:hAnsiTheme="minorHAnsi" w:cstheme="minorHAnsi"/>
          <w:sz w:val="22"/>
        </w:rPr>
        <w:t>tiež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členom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komisie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oboznámiť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s </w:t>
      </w:r>
      <w:proofErr w:type="spellStart"/>
      <w:r w:rsidRPr="00DF248B">
        <w:rPr>
          <w:rFonts w:asciiTheme="minorHAnsi" w:hAnsiTheme="minorHAnsi" w:cstheme="minorHAnsi"/>
          <w:sz w:val="22"/>
        </w:rPr>
        <w:t>rizikovými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indikátormi</w:t>
      </w:r>
      <w:proofErr w:type="spellEnd"/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t.j.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zaoberať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sa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nimi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pri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výkone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ďalších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úkonov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r w:rsidRPr="00DF248B">
        <w:rPr>
          <w:rFonts w:asciiTheme="minorHAnsi" w:hAnsiTheme="minorHAnsi" w:cstheme="minorHAnsi"/>
          <w:sz w:val="22"/>
        </w:rPr>
        <w:t xml:space="preserve">s </w:t>
      </w:r>
      <w:proofErr w:type="spellStart"/>
      <w:r w:rsidRPr="00DF248B">
        <w:rPr>
          <w:rFonts w:asciiTheme="minorHAnsi" w:hAnsiTheme="minorHAnsi" w:cstheme="minorHAnsi"/>
          <w:sz w:val="22"/>
        </w:rPr>
        <w:t>ohľadom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dostatočné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využitie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tejto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vedomosti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Upozorňujeme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zákona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ochrane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môže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predstavovať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prekážku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ďalšom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spolufinancovaní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predmetného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verejného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obstarávania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strany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poskytovateľa</w:t>
      </w:r>
      <w:proofErr w:type="spellEnd"/>
      <w:r w:rsidRPr="00DF248B">
        <w:rPr>
          <w:rFonts w:asciiTheme="minorHAnsi" w:hAnsiTheme="minorHAnsi" w:cstheme="minorHAnsi"/>
          <w:sz w:val="22"/>
        </w:rPr>
        <w:t>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indikátorov</w:t>
      </w:r>
      <w:proofErr w:type="spellEnd"/>
      <w:r w:rsidRPr="00DF248B">
        <w:rPr>
          <w:rFonts w:asciiTheme="minorHAnsi" w:hAnsiTheme="minorHAnsi" w:cstheme="minorHAnsi"/>
          <w:sz w:val="22"/>
        </w:rPr>
        <w:t>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6"/>
        <w:gridCol w:w="4252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Názov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Popis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Rotácia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takmer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vždy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a to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závislosti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zákazníkov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zazmluvnený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</w:t>
            </w:r>
            <w:proofErr w:type="spellEnd"/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skutočnosť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uzavrel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subdodávateľskú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zmluvu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</w:p>
        </w:tc>
        <w:tc>
          <w:tcPr>
            <w:tcW w:w="4278" w:type="dxa"/>
          </w:tcPr>
          <w:p w14:paraId="3E26077E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a</w:t>
            </w:r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>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štatutárnymi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zástupcami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subjekte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nemusel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  <w:p w14:paraId="6E2E7DE9" w14:textId="5FEE1197" w:rsidR="00451C1C" w:rsidRPr="00DF248B" w:rsidRDefault="00451C1C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Príslušnosť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k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ekonomickej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skupine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podali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postupe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samostatné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neposudzuje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indikátor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možného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protisúťažného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konania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opätovne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svoju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úspešní</w:t>
            </w:r>
            <w:proofErr w:type="spellEnd"/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VO, ale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rozsah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účely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</w:p>
        </w:tc>
        <w:tc>
          <w:tcPr>
            <w:tcW w:w="4278" w:type="dxa"/>
          </w:tcPr>
          <w:p w14:paraId="6E2E7DF1" w14:textId="0D586EAD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zjavne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obrat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nedisponujú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referenciami</w:t>
            </w:r>
            <w:proofErr w:type="spellEnd"/>
            <w:r w:rsid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predmetom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podnikateľskej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činnosti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Dvaja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aspoň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dostatočne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sám</w:t>
            </w:r>
            <w:proofErr w:type="spellEnd"/>
          </w:p>
        </w:tc>
        <w:tc>
          <w:tcPr>
            <w:tcW w:w="4278" w:type="dxa"/>
          </w:tcPr>
          <w:p w14:paraId="323C5CEE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všeobecne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bez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zúčastňuje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  <w:p w14:paraId="6E2E7DF5" w14:textId="40EC3B68" w:rsidR="00451C1C" w:rsidRPr="00DF248B" w:rsidRDefault="00451C1C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451C1C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takomto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prípade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je ale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potrebné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vyhodnotiť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či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naozaj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neumožňovali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jednotlivým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samostatne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. ide 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predložil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samostatných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postupov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vyhlásených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realizovaných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rovnakom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čase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a pod.).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tieňovej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krycej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Zrušenie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suppresion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(1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schémy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oproti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zvyšujú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%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prírastok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kalkulácie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všetkých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predpokladanou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buď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touto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tesne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ňou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výsledná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neprimerane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vysoká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vzhľadom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vie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dostupných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vlastných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databáz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informácií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služieb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pozorovať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náhly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pokles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obdobný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vstupe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predošlých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nepredkladal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ponúknuté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keď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ide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kde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poskytované</w:t>
            </w:r>
            <w:proofErr w:type="spellEnd"/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signalizácie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e-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aukciách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zadávaných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využitím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trhoviska</w:t>
            </w:r>
            <w:proofErr w:type="spellEnd"/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dodávatelia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vyššie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vzdialenejších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destinácií</w:t>
            </w:r>
            <w:proofErr w:type="spellEnd"/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správanie</w:t>
            </w:r>
            <w:proofErr w:type="spellEnd"/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naznačujúce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nezverejnené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detaily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vopred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nepredávajú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neponúkajú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oblasti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odberateľom</w:t>
            </w:r>
            <w:proofErr w:type="spellEnd"/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terminológie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mimoriadne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adresovalo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obstarávateľovi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indície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dokumentácii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obstarávania</w:t>
            </w:r>
            <w:proofErr w:type="spellEnd"/>
          </w:p>
        </w:tc>
        <w:tc>
          <w:tcPr>
            <w:tcW w:w="4278" w:type="dxa"/>
          </w:tcPr>
          <w:p w14:paraId="6E2E7E1B" w14:textId="4B3DB3E7" w:rsidR="009461D6" w:rsidRPr="00526EF8" w:rsidRDefault="00451C1C" w:rsidP="00FC2B06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t xml:space="preserve">-        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druh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písma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(</w:t>
            </w:r>
            <w:proofErr w:type="spellStart"/>
            <w:r w:rsidRPr="00526EF8">
              <w:rPr>
                <w:bCs/>
                <w:sz w:val="20"/>
                <w:szCs w:val="22"/>
              </w:rPr>
              <w:t>má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na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mysli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menej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využívaný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typ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písma</w:t>
            </w:r>
            <w:proofErr w:type="spellEnd"/>
            <w:r w:rsidRPr="00526EF8">
              <w:rPr>
                <w:bCs/>
                <w:sz w:val="20"/>
                <w:szCs w:val="22"/>
              </w:rPr>
              <w:t>)</w:t>
            </w:r>
            <w:r w:rsidR="009461D6"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rovnakú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formu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r w:rsidRPr="00526EF8">
              <w:rPr>
                <w:bCs/>
                <w:sz w:val="20"/>
                <w:szCs w:val="22"/>
              </w:rPr>
              <w:t>(</w:t>
            </w:r>
            <w:proofErr w:type="spellStart"/>
            <w:r w:rsidRPr="00526EF8">
              <w:rPr>
                <w:bCs/>
                <w:sz w:val="20"/>
                <w:szCs w:val="22"/>
              </w:rPr>
              <w:t>netýka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prípadov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Pr="00526EF8">
              <w:rPr>
                <w:bCs/>
                <w:sz w:val="20"/>
                <w:szCs w:val="22"/>
              </w:rPr>
              <w:t>ak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uchádzači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predkladajú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rovnaké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formáty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dokumentov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Pr="00526EF8">
              <w:rPr>
                <w:bCs/>
                <w:sz w:val="20"/>
                <w:szCs w:val="22"/>
              </w:rPr>
              <w:t>ktoré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vytvoril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verejný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obstarávateľ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a </w:t>
            </w:r>
            <w:proofErr w:type="spellStart"/>
            <w:r w:rsidRPr="00526EF8">
              <w:rPr>
                <w:bCs/>
                <w:sz w:val="20"/>
                <w:szCs w:val="22"/>
              </w:rPr>
              <w:t>sú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súčasťou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súťažných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podkladov</w:t>
            </w:r>
            <w:proofErr w:type="spellEnd"/>
            <w:r w:rsidRPr="00526EF8">
              <w:rPr>
                <w:bCs/>
                <w:sz w:val="20"/>
                <w:szCs w:val="22"/>
              </w:rPr>
              <w:t>)</w:t>
            </w:r>
            <w:r w:rsidRPr="00451C1C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alebo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boli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použité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rovnaké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kancelárske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potreby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(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napr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.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ponuky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sú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podpísané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rovnakým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atramentom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sú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na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rovnakom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kancelárskom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papieri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pravopisné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tlačiarenské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nedostatky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matematické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počítaní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),</w:t>
            </w:r>
          </w:p>
          <w:p w14:paraId="6E2E7E1D" w14:textId="75EE599C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zhodné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nepravidelnosti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zoradenie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prehodenými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stranami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451C1C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strán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ukazujú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vytvorila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upravovala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F" w14:textId="00E8AC7F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obálky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zasielané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frankovacie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značky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podacích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lístkoch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kolkov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seba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nadväzujú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akýchkoľvek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posielaných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emailovej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naraz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prostredníctvom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kuriéra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1" w14:textId="792E2B05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veľký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opráv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škrtanie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viditeľné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2" w14:textId="4B1AAE0D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jednoznačný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odkaz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ostatných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DF248B">
              <w:rPr>
                <w:rFonts w:cs="Arial"/>
                <w:bCs/>
                <w:sz w:val="20"/>
                <w:szCs w:val="22"/>
              </w:rPr>
              <w:t>vyskytuj</w:t>
            </w:r>
            <w:r w:rsidR="00451C1C">
              <w:rPr>
                <w:rFonts w:cs="Arial"/>
                <w:bCs/>
                <w:sz w:val="20"/>
                <w:szCs w:val="22"/>
              </w:rPr>
              <w:t>ú</w:t>
            </w:r>
            <w:proofErr w:type="spellEnd"/>
            <w:r w:rsidR="00451C1C"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>
              <w:rPr>
                <w:rFonts w:cs="Arial"/>
                <w:bCs/>
                <w:sz w:val="20"/>
                <w:szCs w:val="22"/>
              </w:rPr>
              <w:t>kontaktné</w:t>
            </w:r>
            <w:proofErr w:type="spellEnd"/>
            <w:r w:rsid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>
              <w:rPr>
                <w:rFonts w:cs="Arial"/>
                <w:bCs/>
                <w:sz w:val="20"/>
                <w:szCs w:val="22"/>
              </w:rPr>
              <w:t>údaje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využívajú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340FF15F" w14:textId="77777777" w:rsidR="009461D6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podstatný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odhadov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položky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  <w:p w14:paraId="0F172DD9" w14:textId="4DBF9D2C" w:rsidR="00451C1C" w:rsidRPr="00451C1C" w:rsidRDefault="00451C1C" w:rsidP="00526EF8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t xml:space="preserve">-        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doklady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preukazujúce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splnenie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boli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overené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notárom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prekladateľom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spravidla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ten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deň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ide 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rôzne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sídlo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miesto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podnikania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,</w:t>
            </w:r>
          </w:p>
          <w:p w14:paraId="07468AA5" w14:textId="4AFD7188" w:rsidR="00451C1C" w:rsidRPr="00451C1C" w:rsidRDefault="00451C1C" w:rsidP="00526EF8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t xml:space="preserve">-      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obsahovali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technickej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odbornej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spôsobilosti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údaje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vzdelaní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odbornej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praxi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expertov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skutočnosti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ponúka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relatívne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široké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portfólio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expertov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tohto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3" w14:textId="192B729F" w:rsidR="00451C1C" w:rsidRPr="00DF248B" w:rsidRDefault="00451C1C" w:rsidP="00526EF8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lastRenderedPageBreak/>
              <w:t xml:space="preserve">-        </w:t>
            </w:r>
            <w:proofErr w:type="spellStart"/>
            <w:proofErr w:type="gramStart"/>
            <w:r w:rsidRPr="00451C1C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proofErr w:type="gram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opis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predmetu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voľne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dostupný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661689">
      <w:headerReference w:type="default" r:id="rId11"/>
      <w:footerReference w:type="default" r:id="rId12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89507" w14:textId="77777777" w:rsidR="002822D5" w:rsidRDefault="002822D5">
      <w:r>
        <w:separator/>
      </w:r>
    </w:p>
    <w:p w14:paraId="6F5A29D9" w14:textId="77777777" w:rsidR="002822D5" w:rsidRDefault="002822D5"/>
  </w:endnote>
  <w:endnote w:type="continuationSeparator" w:id="0">
    <w:p w14:paraId="4D9BF8AC" w14:textId="77777777" w:rsidR="002822D5" w:rsidRDefault="002822D5">
      <w:r>
        <w:continuationSeparator/>
      </w:r>
    </w:p>
    <w:p w14:paraId="739FCD9A" w14:textId="77777777" w:rsidR="002822D5" w:rsidRDefault="002822D5"/>
  </w:endnote>
  <w:endnote w:type="continuationNotice" w:id="1">
    <w:p w14:paraId="045C0625" w14:textId="77777777" w:rsidR="002822D5" w:rsidRDefault="00282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B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C9801" w14:textId="77777777" w:rsidR="002822D5" w:rsidRDefault="002822D5">
      <w:r>
        <w:separator/>
      </w:r>
    </w:p>
    <w:p w14:paraId="23E005A1" w14:textId="77777777" w:rsidR="002822D5" w:rsidRDefault="002822D5"/>
  </w:footnote>
  <w:footnote w:type="continuationSeparator" w:id="0">
    <w:p w14:paraId="3981E902" w14:textId="77777777" w:rsidR="002822D5" w:rsidRDefault="002822D5">
      <w:r>
        <w:continuationSeparator/>
      </w:r>
    </w:p>
    <w:p w14:paraId="47D4B7DC" w14:textId="77777777" w:rsidR="002822D5" w:rsidRDefault="002822D5"/>
  </w:footnote>
  <w:footnote w:type="continuationNotice" w:id="1">
    <w:p w14:paraId="420AA57A" w14:textId="77777777" w:rsidR="002822D5" w:rsidRDefault="002822D5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7A790F29" w:rsidR="006D04C5" w:rsidRPr="00624DC2" w:rsidRDefault="00DF248B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11479B19" wp14:editId="14511187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E90319F"/>
    <w:multiLevelType w:val="hybridMultilevel"/>
    <w:tmpl w:val="AAF880C2"/>
    <w:lvl w:ilvl="0" w:tplc="DE1214B8">
      <w:start w:val="16"/>
      <w:numFmt w:val="bullet"/>
      <w:lvlText w:val="-"/>
      <w:lvlJc w:val="left"/>
      <w:pPr>
        <w:ind w:left="699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4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5C94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22D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C1C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26EF8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44D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5BB6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B06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06140-6D74-485D-A6F5-6CFB86D83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3A200-F8A4-475F-9224-E2B6335D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1211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MV SR</cp:lastModifiedBy>
  <cp:revision>7</cp:revision>
  <cp:lastPrinted>2006-02-10T13:19:00Z</cp:lastPrinted>
  <dcterms:created xsi:type="dcterms:W3CDTF">2018-06-06T12:14:00Z</dcterms:created>
  <dcterms:modified xsi:type="dcterms:W3CDTF">2020-07-03T07:41:00Z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