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object w:dxaOrig="12744" w:dyaOrig="1080">
          <v:rect xmlns:o="urn:schemas-microsoft-com:office:office" xmlns:v="urn:schemas-microsoft-com:vml" id="rectole0000000000" style="width:637.200000pt;height:54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24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Ministerstvo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životn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ého prostredia Slovenskej republiky </w: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ako riadiaci orgán pre Opera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ý program Kvalita 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životn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ého prostredia</w: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  <w:t xml:space="preserve">vyhlasuje</w: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VÝZVU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č. 72</w:t>
      </w:r>
    </w:p>
    <w:tbl>
      <w:tblPr/>
      <w:tblGrid>
        <w:gridCol w:w="7711"/>
      </w:tblGrid>
      <w:tr>
        <w:trPr>
          <w:trHeight w:val="1" w:hRule="atLeast"/>
          <w:jc w:val="left"/>
        </w:trPr>
        <w:tc>
          <w:tcPr>
            <w:tcW w:w="77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NA PREDKLADANIE 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ŽIADOST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Í O POSKYTNUTIE NENÁVRATNÉHO FINAN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ČN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38"/>
          <w:shd w:fill="auto" w:val="clear"/>
        </w:rPr>
        <w:t xml:space="preserve">ÉHO PRÍSPEVKU</w: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2689"/>
        <w:gridCol w:w="5244"/>
      </w:tblGrid>
      <w:tr>
        <w:trPr>
          <w:trHeight w:val="567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Zameranie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Triedený zber komunálnych odpadov</w:t>
            </w:r>
          </w:p>
        </w:tc>
      </w:tr>
      <w:tr>
        <w:trPr>
          <w:trHeight w:val="567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Kód výzvy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OPKZP-PO1-SC111-2021-72</w:t>
            </w:r>
          </w:p>
        </w:tc>
      </w:tr>
      <w:tr>
        <w:trPr>
          <w:trHeight w:val="567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Prioritná os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567" w:hRule="auto"/>
          <w:jc w:val="center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Špecifick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ý cie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ľ</w:t>
            </w:r>
          </w:p>
        </w:tc>
        <w:tc>
          <w:tcPr>
            <w:tcW w:w="52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1.1.1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2268"/>
        <w:gridCol w:w="8364"/>
      </w:tblGrid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pageBreakBefore w:val="true"/>
              <w:numPr>
                <w:ilvl w:val="0"/>
                <w:numId w:val="23"/>
              </w:numPr>
              <w:spacing w:before="120" w:after="120" w:line="240"/>
              <w:ind w:right="0" w:left="284" w:hanging="28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FORMÁLNE NÁLE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ŽITOSTI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Opera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 program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28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Kvalita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prostredia (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OP 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ŽP“)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Prioritná os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28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1. Udr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žateľn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vyu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ívanie prírodných zdrojov prostredníctvom rozvoja environmentálnej infra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štrukt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úry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Investi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á priorita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28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1.1 Investovanie do sektora odpadového hospodárstva s cie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ľom splniť požiadavky environment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álneho acquis Únie a pokry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potreby,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člensk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áty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špecifikovali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úvislosti s investíciami nad rámec uvedených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žiadaviek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Špecifick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 cie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ľ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28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1.1.1 Zvý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miery zhodnocovania odpadov so zameran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na ich prípravu na opätovné pou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žitie a recykl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áciu a podpora predchádzania vzniku odpadov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Schéma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átnej pomoci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5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Schéma 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št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átnej pomoci na miestne infra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štrukt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úry v oblasti nakladania s komunálnym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"https://www.op-kzp.sk/wp-content/uploads/2016/03/Schema-SP-pre-miestne-infrastruktury-v-zneni-D1.pdf"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i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"https://www.op-kzp.sk/wp-content/uploads/2016/03/Schema-SP-pre-miestne-infrastruktury-v-zneni-D1.pdf"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odpadm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"https://www.op-kzp.sk/wp-content/uploads/2016/03/Schema-SP-pre-miestne-infrastruktury-v-zneni-D1.pdf"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i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"https://www.op-kzp.sk/wp-content/uploads/2016/03/Schema-SP-pre-miestne-infrastruktury-v-zneni-D1.pdf"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pre programové obdobie 2014 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–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2020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"https://www.op-kzp.sk/wp-content/uploads/2016/03/Schema-SP-pre-miestne-infrastruktury-v-zneni-D1.pdf"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v znení dodatku 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č. 1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sch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éma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ŠP“)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Fond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28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Kohézny fond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Poskytovate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ľ 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Názov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Ministerstvo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životn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prostredia Slovenskej republiky (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ďalej aj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riadiaci orgán“ alebo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ĺžka trvania v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ýzvy na predkladanie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žiadost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í o poskytnutie nenávratného finan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ého príspevku (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ŽoNFP“)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2" w:leader="none"/>
              </w:tabs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Typ výzvy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Otvorená 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61" w:leader="none"/>
              </w:tabs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Dátum vyhlásenia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120" w:after="0" w:line="240"/>
              <w:ind w:right="0" w:left="175" w:hanging="175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november 2021</w:t>
            </w:r>
          </w:p>
        </w:tc>
      </w:tr>
      <w:tr>
        <w:trPr>
          <w:trHeight w:val="1" w:hRule="atLeast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61" w:leader="none"/>
              </w:tabs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Dátum uzavretia</w:t>
            </w: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uzavrie výzvu na predkladanie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(ďalej len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ýzva“) v prípade, ak existuje predpoklad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čerpania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 alebo na základe rozhodnutia RO z dôvodu nedostato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dopytu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 alebo z 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ôvodu zabezpe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čenia riadnej implement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opera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programu. Presný dátum vrátane dôvodu uzavretia výzvy zverejní RO na </w:t>
            </w:r>
            <w:hyperlink xmlns:r="http://schemas.openxmlformats.org/officeDocument/2006/relationships" r:id="docRId3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Indikatívna vý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ška finančn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ých prostriedkov vy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ých na výzvu (zdroje EÚ)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"/>
              </w:numPr>
              <w:tabs>
                <w:tab w:val="left" w:pos="0" w:leader="none"/>
              </w:tabs>
              <w:spacing w:before="120" w:after="120" w:line="240"/>
              <w:ind w:right="0" w:left="0" w:hanging="964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Indikatívna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zo zdrojov EÚ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 je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 mil. EUR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ku ktorým je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átneho rozpo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čtu v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so </w:t>
            </w:r>
            <w:hyperlink xmlns:r="http://schemas.openxmlformats.org/officeDocument/2006/relationships" r:id="docRId4"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Stratégi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"https://www.finance.gov.sk/sk/financne-vztahy-eu/povstupove-fondy-eu/programove-obdobie-2014-2020/europske-strukturalne-investicne-fondy/materialy/"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ou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"https://www.finance.gov.sk/sk/financne-vztahy-eu/povstupove-fondy-eu/programove-obdobie-2014-2020/europske-strukturalne-investicne-fondy/materialy/"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financovania E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"https://www.finance.gov.sk/sk/financne-vztahy-eu/povstupove-fondy-eu/programove-obdobie-2014-2020/europske-strukturalne-investicne-fondy/materialy/"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ŠIF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Indikatívna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je (v súlade s § 17 ods. 2 písm. f)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ŠIF) 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álnou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žitosťou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ýzvy. RO je v súlade s § 17 ods. 8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 opr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ávnený po zverejnení výzvy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álne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žitosti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Prípadná zmena indikatívnej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šky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výzvu, vrátane zdôvodnenia tejto zmeny bude zverejnená na </w:t>
            </w:r>
            <w:hyperlink xmlns:r="http://schemas.openxmlformats.org/officeDocument/2006/relationships" r:id="docRId5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 súlade s pravidlami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kap. 5 tejto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</w:t>
            </w:r>
            <w:r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.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Za zmenu indikatívnej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šky alok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sa nepova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žuje postupn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zni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žovanie disponibiln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finan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 z dôvodu postupného schva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ľovania ŽoNFP. Aktu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álne disponibilná (zostávajúca) indikatívna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finančn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 je priebe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žne aktualizovan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na </w:t>
            </w:r>
            <w:hyperlink xmlns:r="http://schemas.openxmlformats.org/officeDocument/2006/relationships" r:id="docRId6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.</w:t>
            </w:r>
          </w:p>
          <w:tbl>
            <w:tblPr/>
            <w:tblGrid>
              <w:gridCol w:w="10269"/>
            </w:tblGrid>
            <w:tr>
              <w:trPr>
                <w:trHeight w:val="190" w:hRule="auto"/>
                <w:jc w:val="left"/>
              </w:trPr>
              <w:tc>
                <w:tcPr>
                  <w:tcW w:w="10269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bfbfb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120" w:after="120" w:line="240"/>
                    <w:ind w:right="0" w:left="34" w:firstLine="0"/>
                    <w:jc w:val="both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Z uvedeného dôvodu odporú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čame žiadateľom pravidelne sledovať na </w:t>
                  </w:r>
                  <w:hyperlink xmlns:r="http://schemas.openxmlformats.org/officeDocument/2006/relationships" r:id="docRId7">
                    <w:r>
                      <w:rPr>
                        <w:rFonts w:ascii="Arial Narrow" w:hAnsi="Arial Narrow" w:cs="Arial Narrow" w:eastAsia="Arial Narrow"/>
                        <w:b/>
                        <w:i/>
                        <w:color w:val="0000FF"/>
                        <w:spacing w:val="0"/>
                        <w:position w:val="0"/>
                        <w:sz w:val="22"/>
                        <w:u w:val="single"/>
                        <w:shd w:fill="auto" w:val="clear"/>
                      </w:rPr>
                      <w:t xml:space="preserve">www.op-kzp.sk</w:t>
                    </w:r>
                  </w:hyperlink>
                  <w:r>
                    <w:rPr>
                      <w:rFonts w:ascii="Arial Narrow" w:hAnsi="Arial Narrow" w:cs="Arial Narrow" w:eastAsia="Arial Narrow"/>
                      <w:b/>
                      <w:i/>
                      <w:color w:val="0000FF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 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informácie o aktuálne disponibilnej (zostávajúcej) indikatívnej vý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ške finančn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ých prostriedkov vy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členen</w:t>
                  </w:r>
                  <w:r>
                    <w:rPr>
                      <w:rFonts w:ascii="Arial Narrow" w:hAnsi="Arial Narrow" w:cs="Arial Narrow" w:eastAsia="Arial Narrow"/>
                      <w:b/>
                      <w:i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ých na výzvu.</w:t>
                  </w:r>
                </w:p>
              </w:tc>
            </w:tr>
          </w:tbl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 zverejní informáciu o plánovanom uzavretí výzvy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(na </w:t>
            </w:r>
            <w:hyperlink xmlns:r="http://schemas.openxmlformats.org/officeDocument/2006/relationships" r:id="docRId8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)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spolu s dátumom plánovaného uzavretia výzvy a dôvodom uzavretia výzvy, a to najneskôr mesiac pred plánovaným dátumom uzavretia výzvy</w:t>
            </w:r>
          </w:p>
        </w:tc>
      </w:tr>
      <w:tr>
        <w:trPr>
          <w:trHeight w:val="214" w:hRule="auto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Financovanie projektu </w:t>
            </w:r>
          </w:p>
        </w:tc>
      </w:tr>
      <w:tr>
        <w:trPr>
          <w:trHeight w:val="2238" w:hRule="auto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Financovanie celkových oprávnených výdavkov projektu bude v rámci tejto výzvy realizované v súlade s pravidlami stanovenými v platnej Stratégia financovania 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ŠIF, a to nasledovne:</w:t>
            </w:r>
          </w:p>
          <w:tbl>
            <w:tblPr/>
            <w:tblGrid>
              <w:gridCol w:w="4377"/>
              <w:gridCol w:w="1823"/>
              <w:gridCol w:w="1684"/>
              <w:gridCol w:w="2522"/>
            </w:tblGrid>
            <w:tr>
              <w:trPr>
                <w:trHeight w:val="330" w:hRule="auto"/>
                <w:jc w:val="left"/>
              </w:trPr>
              <w:tc>
                <w:tcPr>
                  <w:tcW w:w="4377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Žiadateľ</w:t>
                  </w:r>
                </w:p>
              </w:tc>
              <w:tc>
                <w:tcPr>
                  <w:tcW w:w="3507" w:type="dxa"/>
                  <w:gridSpan w:val="2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Miera príspevku z OP K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ŽP v %</w:t>
                    <w:br/>
                    <w:t xml:space="preserve">v rozdelen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í pod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ľa zdrojov</w:t>
                  </w:r>
                </w:p>
              </w:tc>
              <w:tc>
                <w:tcPr>
                  <w:tcW w:w="2522" w:type="dxa"/>
                  <w:vMerge w:val="restart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Miera spolufinancovania zo zdrojov prijímate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ľa v %</w:t>
                  </w:r>
                </w:p>
              </w:tc>
            </w:tr>
            <w:tr>
              <w:trPr>
                <w:trHeight w:val="330" w:hRule="auto"/>
                <w:jc w:val="left"/>
              </w:trPr>
              <w:tc>
                <w:tcPr>
                  <w:tcW w:w="4377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20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82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Kohézny fond</w:t>
                  </w:r>
                </w:p>
              </w:tc>
              <w:tc>
                <w:tcPr>
                  <w:tcW w:w="16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Št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átny rozpo</w:t>
                  </w: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čet</w:t>
                  </w:r>
                </w:p>
              </w:tc>
              <w:tc>
                <w:tcPr>
                  <w:tcW w:w="2522" w:type="dxa"/>
                  <w:vMerge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2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30" w:hRule="auto"/>
                <w:jc w:val="left"/>
              </w:trPr>
              <w:tc>
                <w:tcPr>
                  <w:tcW w:w="4377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0" w:leader="none"/>
                    </w:tabs>
                    <w:spacing w:before="60" w:after="6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V</w:t>
                  </w: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šetci opr</w:t>
                  </w: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ávnení </w:t>
                  </w: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žiadatelia v r</w:t>
                  </w: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ámci tejto výzvy</w:t>
                  </w:r>
                </w:p>
              </w:tc>
              <w:tc>
                <w:tcPr>
                  <w:tcW w:w="182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85</w:t>
                  </w:r>
                </w:p>
              </w:tc>
              <w:tc>
                <w:tcPr>
                  <w:tcW w:w="168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252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ý harmonogram konania o 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ŽoNFP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Schva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ľovanie ŽoNFP prebieha syst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émom hodnotiacich kôl (alebo aj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posudzovan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období“). </w:t>
            </w:r>
          </w:p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Harmonogram hodnotiacich kôl:</w:t>
            </w:r>
          </w:p>
          <w:tbl>
            <w:tblPr/>
            <w:tblGrid>
              <w:gridCol w:w="3071"/>
              <w:gridCol w:w="3071"/>
              <w:gridCol w:w="4114"/>
            </w:tblGrid>
            <w:tr>
              <w:trPr>
                <w:trHeight w:val="1" w:hRule="atLeast"/>
                <w:jc w:val="center"/>
              </w:trPr>
              <w:tc>
                <w:tcPr>
                  <w:tcW w:w="30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Termín uzavretia </w:t>
                    <w:br/>
                    <w:t xml:space="preserve">hodnotiaceho kola 1</w:t>
                  </w:r>
                </w:p>
              </w:tc>
              <w:tc>
                <w:tcPr>
                  <w:tcW w:w="30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Termín uzavretia </w:t>
                    <w:br/>
                    <w:t xml:space="preserve">hodnotiaceho kola 2</w:t>
                  </w:r>
                </w:p>
              </w:tc>
              <w:tc>
                <w:tcPr>
                  <w:tcW w:w="41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bd4b4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Termín uzavretia kola n</w:t>
                  </w:r>
                </w:p>
              </w:tc>
            </w:tr>
            <w:tr>
              <w:trPr>
                <w:trHeight w:val="543" w:hRule="auto"/>
                <w:jc w:val="center"/>
              </w:trPr>
              <w:tc>
                <w:tcPr>
                  <w:tcW w:w="30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17. január 2022</w:t>
                  </w:r>
                </w:p>
              </w:tc>
              <w:tc>
                <w:tcPr>
                  <w:tcW w:w="307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15. marec 2022</w:t>
                  </w:r>
                </w:p>
              </w:tc>
              <w:tc>
                <w:tcPr>
                  <w:tcW w:w="4114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60" w:after="6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Narrow" w:hAnsi="Arial Narrow" w:cs="Arial Narrow" w:eastAsia="Arial Narrow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v intervale troch mesiacov od termínu uzavretia predchádzajúceho hodnotiaceho kola</w:t>
                  </w:r>
                </w:p>
              </w:tc>
            </w:tr>
          </w:tbl>
          <w:p>
            <w:pPr>
              <w:spacing w:before="120" w:after="120" w:line="240"/>
              <w:ind w:right="0" w:left="0" w:firstLine="28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 prípade, ak termín uzavretia hodnotiaceho kola pripadne na de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pracovn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pokoja, pova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žuje sa za term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ín uzavretia hodnotiaceho kola prvý nasledujúci pracovný de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ň. Žiadateľ je opr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ávnený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žiť ŽoNFP kedykoľvek počas trvania otvorenej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ýzvy. Mo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žnosť priebežn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predkladania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nie je obmedzen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stanovenými termínmi uzavretia jednotlivých hodnotiacich kôl.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žnosť priebežn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predkladania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nie je obmedzen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 stanovenými termínmi uzavretia jednotlivých hodnotiacich kôl.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ô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predložiť ŽoNFP na RO kedykoľvek počas trvania otvorenej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ýzvy.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 cie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ľom optimalizovať proces schvaľovania ŽoNFP 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ô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RO počas trvania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ýzvy aktualizova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term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íny uzavretia jednotlivých hodnotiacich kôl, resp. upravi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interval pre uzavretie hodnotiacich 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ôl. Aktualizácia termínov uzavretia hodnotiacich kôl sa pova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žuje za zmenu form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álnych nále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je o 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ýsledku konania o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ženej ŽoNFP informovan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rozhodnutím RO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 schválení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o neschv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álení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alebo rozhodnut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 zastavení konania o 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vydá rozhodnutia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predch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ádzajúceho odseku do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70 pracovných dní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od termínu uzavretia hodnotiaceho kola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v ktorom boli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(príklad priebehu zara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ďovania priebežne predkladan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do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hodnotiacich kôl je uvedený v kapitole 4 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Príru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čky pre žiadateľa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tvorí prílohu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č. 2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ýzvy. Do lehoty na vydanie rozhodnutia sa nezapo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ítava doba potrebná na doplnenie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zo strany žiadateľa, ako aj doba potrebn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na overenie splnenia podmienky poskytnutia príspevku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Opr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ávnenos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ť z hľadiska preuk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ázania súladu s po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žiadavkami v oblasti posudzovania vplyvov navrhovanej činnosti na životn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é prostredie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“.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 nedodr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žania, resp. predĺženia lehoty na ukončenie konania o ŽoNFP, RO informuje žiadateľov o 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ôvodoch nedodr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žania term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ínu, ako aj o novom predpokladanom termíne prostredníctvom informácie zverejnenej na </w:t>
            </w:r>
            <w:hyperlink xmlns:r="http://schemas.openxmlformats.org/officeDocument/2006/relationships" r:id="docRId9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v ITMS2014+, ako aj zaslaním informácie individuálne na kontaktné e-mailové adresy uvedené v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 Pri nedodržan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oznámeného predpokladaného termínu RO opakovane zabezpe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informovanos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žiadateľov za rovnak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podmienok.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Podrobnosti o procese schva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ľovania ŽoNFP (vr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átane plynutia a preru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šovania leh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ôt) sú uvedené v Príru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čke pre žiadateľa (kap. 4).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Miesto a spôsob predlo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ženia ŽoNFP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predklad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formulár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a všetky pr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ílohy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prostredníctvom ITMS2014+ a zárove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ň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predklad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formulár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(po jeho odoslan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spolu s prílohami prostredníctvom ITMS2014+)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prostredníctvom e-schránky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120" w:after="0" w:line="240"/>
              <w:ind w:right="0" w:left="4854" w:hanging="4854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 e-schránky zasiela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formul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ár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cez </w:t>
            </w:r>
            <w:hyperlink xmlns:r="http://schemas.openxmlformats.org/officeDocument/2006/relationships" r:id="docRId10"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www.slovensko.sk</w:t>
              </w:r>
            </w:hyperlink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alebo priamo z prostredia ITMS2014+.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Formulár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vygenerovan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 prostredníctvom verejnej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časti ITMS2014+ vo form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áte .pdf, ktorý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zasiela prostredn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íctvom e-schránky, bude autorizovaný kvalifikovaným elektronickým podpisom alebo kvalifikovaným elektronickým podpisom s mandátnym certifikátom alebo kvalifikovanou elektronickou pe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čaťou.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 prípade, ak z technických prí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 nie je možn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žiť niektor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z príloh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elektronicky prostredn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íctvom ITMS2014+,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predlož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túto prílohu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listinne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tak, aby bolo zrejmé,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ide o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ílohu formulára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</w:t>
            </w:r>
          </w:p>
          <w:p>
            <w:pPr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akceptuje listinné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ílohy len z dôvodu technických obmedzení, ktoré súvisia s rozsahom predkladaných príloh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a/alebo zachovan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ich zrozumite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ľnosti a presnosti (napr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íklad rozsiahla projektová a technická dokumentácia alebo dokumentácia vytvorená v osobitných softvéroch ak relevantné), pri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čom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íloha musí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najneskôr do uzavretia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hodnotiaceho kola, v rámci ktorého je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V pr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ípade, ak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predklad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 ur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čit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ú prílohu v listinnej podobe,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v časti 7.1 formul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áru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identifikuje dan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ú prílohu.</w:t>
            </w:r>
          </w:p>
          <w:p>
            <w:pPr>
              <w:spacing w:before="120" w:after="0" w:line="240"/>
              <w:ind w:right="0" w:left="5143" w:hanging="5143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predklad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listinnú podobu príloh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na adresu: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ab/>
              <w:t xml:space="preserve">Ministerstvo životn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prostredia Slovenskej republiky</w:t>
            </w:r>
          </w:p>
          <w:p>
            <w:pPr>
              <w:spacing w:before="0" w:after="0" w:line="240"/>
              <w:ind w:right="0" w:left="5143" w:firstLine="0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Sekcia environmentálnych programov a projektov </w:t>
            </w:r>
          </w:p>
          <w:p>
            <w:pPr>
              <w:spacing w:before="0" w:after="0" w:line="240"/>
              <w:ind w:right="0" w:left="5143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Odbor posudzovania projektov</w:t>
            </w:r>
          </w:p>
          <w:p>
            <w:pPr>
              <w:spacing w:before="0" w:after="0" w:line="240"/>
              <w:ind w:right="0" w:left="5143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Karloveská 2</w:t>
            </w:r>
          </w:p>
          <w:p>
            <w:pPr>
              <w:spacing w:before="0" w:after="0" w:line="240"/>
              <w:ind w:right="0" w:left="5143" w:firstLine="0"/>
              <w:jc w:val="left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841 04 Bratislava</w:t>
            </w:r>
          </w:p>
          <w:p>
            <w:pPr>
              <w:tabs>
                <w:tab w:val="left" w:pos="708" w:leader="none"/>
              </w:tabs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Dokumenty predkladané v listinnej podobe je mo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é predlo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žiť na vyššie uveden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ú adresu jedným z nasledovných spôsobov:</w:t>
            </w:r>
          </w:p>
          <w:p>
            <w:pPr>
              <w:numPr>
                <w:ilvl w:val="0"/>
                <w:numId w:val="132"/>
              </w:numPr>
              <w:tabs>
                <w:tab w:val="left" w:pos="360" w:leader="none"/>
                <w:tab w:val="left" w:pos="720" w:leader="none"/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osobne v pracovné dni v 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čase 8:00 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 11:00 a 12:00 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 15:00,</w:t>
            </w:r>
          </w:p>
          <w:p>
            <w:pPr>
              <w:numPr>
                <w:ilvl w:val="0"/>
                <w:numId w:val="132"/>
              </w:numPr>
              <w:tabs>
                <w:tab w:val="left" w:pos="360" w:leader="none"/>
                <w:tab w:val="left" w:pos="720" w:leader="none"/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doporu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čenou poštou,</w:t>
            </w:r>
          </w:p>
          <w:p>
            <w:pPr>
              <w:numPr>
                <w:ilvl w:val="0"/>
                <w:numId w:val="132"/>
              </w:numPr>
              <w:tabs>
                <w:tab w:val="left" w:pos="360" w:leader="none"/>
                <w:tab w:val="left" w:pos="720" w:leader="none"/>
                <w:tab w:val="left" w:pos="284" w:leader="none"/>
              </w:tabs>
              <w:spacing w:before="0" w:after="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kuriérskou slu</w:t>
            </w:r>
            <w:r>
              <w:rPr>
                <w:rFonts w:ascii="Arial Narrow" w:hAnsi="Arial Narrow" w:cs="Arial Narrow" w:eastAsia="Arial Narrow"/>
                <w:color w:val="auto"/>
                <w:spacing w:val="-5"/>
                <w:position w:val="0"/>
                <w:sz w:val="22"/>
                <w:shd w:fill="auto" w:val="clear"/>
              </w:rPr>
              <w:t xml:space="preserve">žbou.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je v zmysle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19 zákona o príspevku z 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ŠIF povinn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predlo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žiť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riadne, včas a vo forme určenej RO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 Podmienky,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musí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splniť na to, aby bola ŽoNFP predložen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riadne, 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 a vo forme určenej RO, vr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átane presného procesného postupu a technicko-organiza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nále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pri predkladaní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ako aj postup pri 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ískavaní prístupu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žiadateľa do ITMS2014+,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bli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žšie špecifikovan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v kapitole 2 Príru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čky pre žiadateľa.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Ak vzniknú pochybnosti o predlo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riadne, včas a vo forme určenej RO, RO ozn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ámi tieto pochybnosti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žiadateľovi a vyzve ho, aby sa k nim v primeranej lehote vyjadril alebo pochybenia odstr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ánil.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prípade, ak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nepredlož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riadne, včas a v určenej forme v zmysle inštrukci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uvedených v Príru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 žiadateľa, RO zastav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konanie o 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Kontaktné údaje RO a spôsob komunikácie s RO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Informácie týkajúce sa tejto výzvy je mo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získa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na </w:t>
            </w:r>
            <w:hyperlink xmlns:r="http://schemas.openxmlformats.org/officeDocument/2006/relationships" r:id="docRId11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 zárove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jednou z nasledovn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foriem:</w:t>
            </w:r>
          </w:p>
          <w:p>
            <w:pPr>
              <w:tabs>
                <w:tab w:val="left" w:pos="3011" w:leader="none"/>
              </w:tabs>
              <w:spacing w:before="12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Listinnou formou na adrese RO:</w:t>
              <w:tab/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Ministerstvo 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životn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prostredia Slovenskej republiky</w:t>
            </w:r>
          </w:p>
          <w:p>
            <w:pPr>
              <w:spacing w:before="0" w:after="0" w:line="240"/>
              <w:ind w:right="0" w:left="3011" w:firstLine="0"/>
              <w:jc w:val="both"/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Sekcia environmentálnych programov a projektov </w:t>
            </w:r>
          </w:p>
          <w:p>
            <w:pPr>
              <w:spacing w:before="0" w:after="0" w:line="240"/>
              <w:ind w:right="0" w:left="3011" w:firstLine="0"/>
              <w:jc w:val="both"/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Karloveská 2</w:t>
            </w:r>
          </w:p>
          <w:p>
            <w:pPr>
              <w:spacing w:before="0" w:after="0" w:line="240"/>
              <w:ind w:right="0" w:left="3011" w:firstLine="0"/>
              <w:jc w:val="both"/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841 04 Bratislava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Elektronickou formou na e-mailovej adrese: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2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vyzvy.opkzp@enviro.gov.sk</w:t>
              </w:r>
            </w:hyperlink>
          </w:p>
          <w:p>
            <w:pPr>
              <w:spacing w:before="120" w:after="0" w:line="240"/>
              <w:ind w:right="0" w:left="5562" w:hanging="5562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Telefonicky na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ísle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+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421 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906 314 282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nasledujúcich 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ňoch: </w:t>
              <w:tab/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Pondelok, streda, piatok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 čase od 8:00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11:00</w:t>
            </w:r>
          </w:p>
          <w:p>
            <w:pPr>
              <w:spacing w:before="0" w:after="120" w:line="240"/>
              <w:ind w:right="0" w:left="5562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Utorok,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štvrtok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 čase od 12:00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15:00.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RO zárove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ň zverejňuje na </w:t>
            </w:r>
            <w:hyperlink xmlns:r="http://schemas.openxmlformats.org/officeDocument/2006/relationships" r:id="docRId13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často kladen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otázky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žiadateľov všeobecn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charakteru, spolu s príslu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ými odpove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ďami (v kateg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órii: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Často kladen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otázky (FAQ)“).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Záväzný charakter majú informácie zverejnené na </w:t>
            </w:r>
            <w:hyperlink xmlns:r="http://schemas.openxmlformats.org/officeDocument/2006/relationships" r:id="docRId14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, ako aj informácie poskytnuté písomne (v elektronickej alebo listinnej podobe). Informácie poskytnuté telefonicky alebo osobne, nie je mo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pova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žovať za 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áväzné a odvoláva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sa na ne. Ďalšie informačn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kanály pre poskytovanie doplnkových informácií k výzve, ktoré mô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 RO využiť,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najmä: </w:t>
            </w:r>
          </w:p>
          <w:p>
            <w:pPr>
              <w:numPr>
                <w:ilvl w:val="0"/>
                <w:numId w:val="146"/>
              </w:numPr>
              <w:tabs>
                <w:tab w:val="left" w:pos="720" w:leader="none"/>
                <w:tab w:val="left" w:pos="284" w:leader="none"/>
              </w:tabs>
              <w:spacing w:before="120" w:after="12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informa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semináre pre potenciálnych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žiadateľov o NFP,</w:t>
            </w:r>
          </w:p>
          <w:p>
            <w:pPr>
              <w:numPr>
                <w:ilvl w:val="0"/>
                <w:numId w:val="146"/>
              </w:numPr>
              <w:tabs>
                <w:tab w:val="left" w:pos="720" w:leader="none"/>
                <w:tab w:val="left" w:pos="284" w:leader="none"/>
              </w:tabs>
              <w:spacing w:before="120" w:after="12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informa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a propaga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materiály (plagáty, letáky, informa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panely, publikácie, tla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informácie a pod.),</w:t>
            </w:r>
          </w:p>
          <w:p>
            <w:pPr>
              <w:numPr>
                <w:ilvl w:val="0"/>
                <w:numId w:val="146"/>
              </w:numPr>
              <w:tabs>
                <w:tab w:val="left" w:pos="720" w:leader="none"/>
                <w:tab w:val="left" w:pos="284" w:leader="none"/>
              </w:tabs>
              <w:spacing w:before="120" w:after="120" w:line="240"/>
              <w:ind w:right="0" w:left="284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tla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konferencie, prezentácie, informácie v novinách,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časopisoch, TV a rozhlase, webov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portáloch.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Konkrétne informa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aktivity vo vz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ťahu k tejto 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ýzve zverejní RO na svojom webovom sídle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hyperlink xmlns:r="http://schemas.openxmlformats.org/officeDocument/2006/relationships" r:id="docRId15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.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Upozor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ňujeme žiadateľov, aby priebežne sledovali </w:t>
            </w:r>
            <w:hyperlink xmlns:r="http://schemas.openxmlformats.org/officeDocument/2006/relationships" r:id="docRId16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, kde budú v prípade potreby zverej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ňovan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 aktuálne informácie súvisiace s vyhlásenou výzvou.</w:t>
            </w:r>
          </w:p>
          <w:p>
            <w:pPr>
              <w:spacing w:before="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Odborné poradenstvo k výzve, ako aj k spracovaniu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poskytuj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aj Informa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čno-poradensk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centrá pre 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ŠIF (ďalej len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IPC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),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majú sídla v jednotlivých samosprávnych krajoch (s výnimkou Bratislavského samosprávneho kraja). Kontaktné údaje na jednotlivé IPC je mo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získa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na webovom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ídle </w:t>
            </w:r>
            <w:hyperlink xmlns:r="http://schemas.openxmlformats.org/officeDocument/2006/relationships" r:id="docRId17">
              <w:r>
                <w:rPr>
                  <w:rFonts w:ascii="Arial Narrow" w:hAnsi="Arial Narrow" w:cs="Arial Narrow" w:eastAsia="Arial Narrow"/>
                  <w:color w:val="000000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https://euroinfo.sk/</w:t>
              </w:r>
            </w:hyperlink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5"/>
        <w:gridCol w:w="3403"/>
        <w:gridCol w:w="6804"/>
      </w:tblGrid>
      <w:tr>
        <w:trPr>
          <w:trHeight w:val="158" w:hRule="auto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2"/>
              </w:numPr>
              <w:spacing w:before="120" w:after="120" w:line="240"/>
              <w:ind w:right="0" w:left="284" w:hanging="284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PODMIENKY POSKYTNUTIA PRÍSPEVKU</w:t>
            </w:r>
          </w:p>
        </w:tc>
      </w:tr>
      <w:tr>
        <w:trPr>
          <w:trHeight w:val="158" w:hRule="auto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Podmienky poskytnutia príspevku predstavujú súbor podmienok overovaných RO v procese schva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ľovania ŽoNFP (konanie o ŽoNFP podľa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19 zákona o príspevku z 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ŠIF), ale aj počas platnosti a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činnosti zmluvy o poskytnut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NFP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zmluva 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NFP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), ktoré musí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/ prij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 splniť na to, aby mu bola schv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álená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a 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ásledne prijímate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 (v relevantnom rozsahu), aby mu bol vyplaten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príslu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NFP.</w:t>
            </w:r>
          </w:p>
          <w:p>
            <w:pPr>
              <w:keepNext w:val="true"/>
              <w:keepLines w:val="true"/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Podmienky poskytnutia príspevku stanovené vo výzve musia by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splnen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bez oh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ľadu na skutočnosť, či ich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úplné znenie je priamo uvedené v texte výzvy alebo je uvádzané, resp. bli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žšie pop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ísané v dokumentoch, na ktoré sa táto výzva odvoláva. </w:t>
            </w:r>
          </w:p>
          <w:p>
            <w:pPr>
              <w:keepNext w:val="true"/>
              <w:keepLines w:val="true"/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RO overuje plnenie podmienok poskytnutia príspevku v konaní o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sprostredkovateľsk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orgán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SO“) pred zaslaním návrhu zmluvy o NFP, ako aj po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 platnosti a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činnosti zmluvy o NFP, t. j. počas obdobia realiz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ácie a udr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žateľnosti projektu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(t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ýka sa len podmienok poskytnutia príspevku, ktoré majú by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ť v zmysle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íru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čky pre prij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ľa splnen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é aj po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čas platnosti a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shd w:fill="auto" w:val="clear"/>
              </w:rPr>
              <w:t xml:space="preserve">činnosti zmluvy o NFP)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Ak RO (v mene, ktorého koná SO) v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čase po vydan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rozhodnutia o 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do uzavretia zmluvy o NFP zist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í,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 niektor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z podmienok poskytnutia príspevku, ktorá má by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splnen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aj po uzatvorení zmluvy o NFP, nie je splnená, informuje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štatut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árny orgán RO o potrebe uplatnenia mimoriadneho opravného prostriedku v súlade s § 24 zákona o príspevku z 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ŠIF.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Ak sa po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 trvania zmluvn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vz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ťahu medzi RO (v mene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koná SO) a prijímate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ľom (na 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áklade uzavretej zmluvy o NFP) zistí,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 niektor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z podmienok poskytnutia príspevku, ktorá má by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splnen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aj po uzavretí zmluvy o NFP, nie je splnená, SO je oprávnený vyvodi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ávne dôsledky vo vz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ťahu k prij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ľovi v 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úlade s príslu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ými ustanoveniami uzavretej zmluvy o NFP.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 nasledujúcej tabu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ľke je uveden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znenie a stru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popis podmienok poskytnutia príspevku. Podrobnej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šia špecifik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ácia jednotlivých podmienok poskytnutia príspevku, ako aj spôsob preukázania ich splnenia a spôsob ich overovania zo strany RO, vrátane presnej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špecifik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žiadaviek na predloženie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príloh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bli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žšie definovan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žiadateľa.</w:t>
            </w:r>
          </w:p>
        </w:tc>
      </w:tr>
      <w:tr>
        <w:trPr>
          <w:trHeight w:val="157" w:hRule="auto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OPRÁVNENOS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Ť ŽIADATEĽA</w:t>
            </w:r>
          </w:p>
        </w:tc>
      </w:tr>
      <w:tr>
        <w:trPr>
          <w:trHeight w:val="157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P.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č.</w:t>
            </w: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Znenie podmienky poskytnutia príspevku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abf8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Stru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ý popis podmienky poskytnutia príspevku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8"/>
              </w:numPr>
              <w:spacing w:before="120" w:after="120" w:line="240"/>
              <w:ind w:right="0" w:left="175" w:hanging="21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Právna forma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34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rámci tejto výzvy sú oprávnenými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žiadateľmi subjekty zabezpečuj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úce výkon verejnoprospe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úloh v oblasti nakladania s komunálnymi odpadmi (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ďalej aj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) a drobným stavebným odpadom.</w:t>
            </w:r>
          </w:p>
          <w:p>
            <w:pPr>
              <w:numPr>
                <w:ilvl w:val="0"/>
                <w:numId w:val="171"/>
              </w:numPr>
              <w:spacing w:before="120" w:after="120" w:line="240"/>
              <w:ind w:right="0" w:left="459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obec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alebo zdru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obc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  <w:p>
            <w:pPr>
              <w:numPr>
                <w:ilvl w:val="0"/>
                <w:numId w:val="171"/>
              </w:numPr>
              <w:spacing w:before="120" w:after="120" w:line="240"/>
              <w:ind w:right="0" w:left="459" w:hanging="36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príspevková alebo rozpo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čtov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 organizácia obce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  <w:p>
            <w:pPr>
              <w:numPr>
                <w:ilvl w:val="0"/>
                <w:numId w:val="171"/>
              </w:numPr>
              <w:spacing w:before="120" w:after="120" w:line="240"/>
              <w:ind w:right="0" w:left="459" w:hanging="36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právnická osoba oprávnená na podnikanie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2 ods. 2 Obchodného zákonníka, ktorá je v 100 % vlastníctve obce/obcí, ktorá je oprávnená na nakladanie s odpadom,</w:t>
            </w:r>
          </w:p>
          <w:p>
            <w:pPr>
              <w:numPr>
                <w:ilvl w:val="0"/>
                <w:numId w:val="171"/>
              </w:numPr>
              <w:spacing w:before="120" w:after="120" w:line="240"/>
              <w:ind w:right="0" w:left="459" w:hanging="36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nezisková organizácia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poskytujúca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šeobecne prospešn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žby v oblasti tvorby a ochrany životn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prostredia, ktorá je v 100 % vlastníctve obce/obcí;</w:t>
            </w:r>
          </w:p>
          <w:p>
            <w:pPr>
              <w:numPr>
                <w:ilvl w:val="0"/>
                <w:numId w:val="171"/>
              </w:numPr>
              <w:spacing w:before="120" w:after="120" w:line="240"/>
              <w:ind w:right="0" w:left="459" w:hanging="36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zdru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pr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ávnických osôb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ktorého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členmi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výlu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čne obce, resp. subjekty v 100 % vlastn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íctve obce/obcí.</w:t>
            </w:r>
          </w:p>
          <w:p>
            <w:pPr>
              <w:spacing w:before="120" w:after="120" w:line="240"/>
              <w:ind w:right="0" w:left="34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Zárove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osoba konaj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úca v mene oprávneného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žiadateľa, ak je odlišn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od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štatut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árneho orgánu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žiadateľa,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riadne splnomocnen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na výkon predmetných úkonov.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4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že žiadateľ nie je evidovan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 v Systéme v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časn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odha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ľovania rizika a vyl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čenia ako vyl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 osoba alebo subjekt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nesmie byť evidovan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v Systéme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odha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ľovania rizika a vyl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čenia (EDES) ako vyl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osoba alebo subjekt v zmysle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ánku 135 a nasledujúcich nariadenia o rozpo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čtov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pravidlách.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8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že štatut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árny orgán, ani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žiadny člen štatut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árneho orgánu, ani prokurista/i, ani osoba splnomocnená zastupova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ť žiadateľa v konan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í o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neboli pr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ávoplatne odsúdení za trestný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korupcie, za trestn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poškodzovania finančn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záujmov EÚ, za trestný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legaliz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ácie príjmu z trestnej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činnosti, za trestn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založenia, zosnovania a podporovania zločineckej skupiny, alebo za trestn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machin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ácie pri verejnom obstarávaní a verejnej dra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žbe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Štatut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árny orgán, ani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žiadny člen štatut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árneho orgánu, ani prokurista/i, ani osoba splnomocnená zastupova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žiadateľa v konan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nem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 byť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ávoplatne odsúdení za niektorý z nasledujúcich trestných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činov:</w:t>
            </w:r>
          </w:p>
          <w:p>
            <w:pPr>
              <w:numPr>
                <w:ilvl w:val="0"/>
                <w:numId w:val="181"/>
              </w:numPr>
              <w:spacing w:before="40" w:after="40" w:line="240"/>
              <w:ind w:right="0" w:left="459" w:hanging="36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niektorý z trestných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činov korupcie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328 - § 336 trestného zákona);</w:t>
            </w:r>
          </w:p>
          <w:p>
            <w:pPr>
              <w:numPr>
                <w:ilvl w:val="0"/>
                <w:numId w:val="181"/>
              </w:numPr>
              <w:spacing w:before="40" w:after="40" w:line="240"/>
              <w:ind w:right="0" w:left="459" w:hanging="36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trestný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poškodzovania finančn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záujmov Európskej únie (§ 261- § 263 trestného zákona);</w:t>
            </w:r>
          </w:p>
          <w:p>
            <w:pPr>
              <w:numPr>
                <w:ilvl w:val="0"/>
                <w:numId w:val="181"/>
              </w:numPr>
              <w:spacing w:before="40" w:after="40" w:line="240"/>
              <w:ind w:right="0" w:left="459" w:hanging="36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trestný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legaliz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ácie príjmu z trestnej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činnosti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233 - § 234 trestného zákona);</w:t>
            </w:r>
          </w:p>
          <w:p>
            <w:pPr>
              <w:numPr>
                <w:ilvl w:val="0"/>
                <w:numId w:val="181"/>
              </w:numPr>
              <w:spacing w:before="40" w:after="40" w:line="240"/>
              <w:ind w:right="0" w:left="459" w:hanging="36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trestný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založenia, zosnovania a podporovania zločineckej skupiny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296 trestného zákona);</w:t>
            </w:r>
          </w:p>
          <w:p>
            <w:pPr>
              <w:numPr>
                <w:ilvl w:val="0"/>
                <w:numId w:val="181"/>
              </w:numPr>
              <w:spacing w:before="40" w:after="40" w:line="240"/>
              <w:ind w:right="0" w:left="459" w:hanging="36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trestný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 machin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ácie pri verejnom obstarávaní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VO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“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) a verejnej dra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žbe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 266 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§ 268 trestného zákona).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1"/>
              </w:numPr>
              <w:spacing w:before="120" w:after="120" w:line="240"/>
              <w:ind w:right="0" w:left="175" w:hanging="21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voči žiadateľovi nie je veden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konkurzné konanie, re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štrukturalizačn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konanie, nie je v konkurze alebo v re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štrukturaliz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ácii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 žiadateľovi nesmie byť 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konkurzné konanie ani 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štrukturalizačn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konanie,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nesmie byť v konkurze alebo v reštrukturaliz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ácii.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na subjekty podľa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2 zákona o konkurze a 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štrukturaliz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ácii.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7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žiadateľ nem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 právoplatným rozsudkom ulo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 trest zákazu prijíma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dot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ácie alebo subvencie, trest zákazu prijíma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pomoc a podporu poskytovan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 z fondov EÚ alebo trest zákazu ú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časti vo verejnom obstar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ávaní pod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ľa osobitn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predpisu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Žiadateľovi nem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byť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ávoplatne ulo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trest zákazu prijíma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dot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alebo subvencie, trest zákazu prijíma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pomoc a podporu poskytovan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z fondov Európskej únie alebo trest zákazu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časti vo VO podľa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trestnej zodpovednosti právnických osôb.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na subjekty podľa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5 ods. 1 zákona o trestnej zodpovednosti právnických osôb.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1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 zákazu vedenia výkonu rozhodnutia vo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či žiadateľovi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 žiadateľovi nesmie byť vykon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ávaná exekúcia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Exekučn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poriadku (s výnimkou exekúcie, ktorej výkon je odlo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zábezpeky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Exekučn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poriadku), ani vedený iný výkon rozhodnutia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osobitn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predpisov, ktorého predmetom je nútený výkon povinnosti zaplati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peňažn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sumu, a to v celkovej sume vymáhaného nároku za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šetky takto vykon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ávané exekúcie alebo iné výkony rozhodnutia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ššej ako 1 % NFP požadovan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žiadateľom v podanej ŽoNFP.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 žiadateľovi tiež nesmie byť 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výkon rozhodnutia na plnenie inej povinnosti, ktorá nespo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íva v zaplatení 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ňažnej sumy, pokiaľ 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áto nepe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ňažn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povinnos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akokoľvek priamo alebo nepriamo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úvisí s projektom, ktorý je predmetom podanej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žiadateľa.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celkov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vym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áhaného nároku za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šetky exek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úcie alebo iné výkony rozhodnutia presiahla 1 % NFP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žadovan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žiadateľom v podanej ŽoNFP, je pre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čely pos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údenia tejto podmienky rozhodujúca skuto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čnosť, či dlžn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suma a 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šetky trovy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úvisiace s výkonom rozhodnutia boli uhradené.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5"/>
              </w:numPr>
              <w:spacing w:before="120" w:after="120" w:line="240"/>
              <w:ind w:right="0" w:left="175" w:hanging="21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že žiadateľ nie je podnikom v ťažkostiach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Žiadateľmi nem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 byť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čl. 2 ods. 2, 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ísm. e) nariadenia o KF podniky v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ťažkostiach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ako s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ú vymedzené v právnych predpisoch Únie o 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“.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Bli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žšie podmienky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upravené v 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9"/>
              </w:numPr>
              <w:spacing w:before="120" w:after="120" w:line="240"/>
              <w:ind w:right="0" w:left="175" w:hanging="21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že žiadateľ m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 schválený program rozvoja obce a príslu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ú územnoplánovaciu dokumentáciu v súlade s ustanovením § 8 ods. 6 / § 8a ods. 4 zákona o podpore regionálneho rozvoja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ým je obec, musí ma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schv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álený program rozvoja obce / spolo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program rozvoja obcí a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územnoplánovaciu dokumentáciu v súlade s ustanovením § 8 ods. 6 / § 8a ods. 4 zákona o podpore regionálneho rozvoja.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3"/>
              </w:numPr>
              <w:spacing w:before="120" w:after="120" w:line="240"/>
              <w:ind w:right="0" w:left="175" w:hanging="218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Podmienka finan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čnej sp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ôsobilosti spolufinancovania projektu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finančne sp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ôsobilý na spolufinancovanie projektu. Finan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spôsobilos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na spolufinancovanie projektu znamen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žiadateľ 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zabezpe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finan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prostriedky minimálne na spolufinancovanie oprávnených výdavkov projektu.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a sp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ôsob preukázania spolufinancovania projektu zo strany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 je bližšie pop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ísaný v 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príspevku: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OPRÁVNENOS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Ť AKTIV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ÍT REALIZÁCIE PROJEKTU </w:t>
            </w:r>
          </w:p>
        </w:tc>
      </w:tr>
      <w:tr>
        <w:trPr>
          <w:trHeight w:val="371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1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oprávnenosti aktivít projektu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Hlavná aktivita projektu musí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vo vecnom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 nasledovným typom oprávnenej aktivity OP 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ŽP: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B. Príprava na opätovné pou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žitie a zhodnocovanie so zameran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ím na recykláciu nie nebezpe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ých odpadov vrátane podpory systémov triedeného zberu komunálnych odpadov a podpory predchádzania vzniku biologicky rozlo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žiteľn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ých komunálnych odpadov,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v rámci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špecifick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cie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1.1.1: Zv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šenie miery zhodnocovania odpadov so zameran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ím na ich prípravu na opätovné pou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žitie a recykl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áciu a podpora predchádzania vzniku odpadov.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rámci uvedeného typu aktivity sa príspevok poskytuje na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triedený zber komunálnych odpadov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t. j.: </w:t>
            </w:r>
          </w:p>
          <w:p>
            <w:pPr>
              <w:numPr>
                <w:ilvl w:val="0"/>
                <w:numId w:val="216"/>
              </w:numPr>
              <w:spacing w:before="60" w:after="60" w:line="240"/>
              <w:ind w:right="0" w:left="453" w:hanging="357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Výstavba nových alebo rekon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štrukcia existuj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úcich zariadení na zber odpadov / zberných dvorov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za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čelom zv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kapacity trieden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zberu KO (primárne na odpady, za ktorých zber a nakladanie s nimi je v súlade so zákonom o odpadoch zodpovedná obec a na ktoré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rozš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írená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ýrobcov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a ktorým nie je biologicky rozlo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kuchynský odpad a 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štauračn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odpad od prevádzkovate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kuchyne). </w:t>
            </w:r>
          </w:p>
          <w:p>
            <w:pPr>
              <w:numPr>
                <w:ilvl w:val="0"/>
                <w:numId w:val="216"/>
              </w:numPr>
              <w:spacing w:before="60" w:after="60" w:line="240"/>
              <w:ind w:right="0" w:left="454" w:hanging="357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Nákup hnute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ľn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ých vecí za ú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čelom zv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ý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šenia kapacity trieden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ého zberu komunálnych odpadov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zberné nádoby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81 ods. 5 zákona o odpadoch, 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ľkokapacitn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kontajnery pre odpady, za nakladanie s ktorými zodpovedá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obec a na ktoré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rozš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írená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ýrobcov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a ktorým nie je biologicky rozlo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kuchynský odpad a 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štauračn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odpad od prevádzkovate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kuchyne.</w:t>
            </w:r>
          </w:p>
          <w:p>
            <w:pPr>
              <w:numPr>
                <w:ilvl w:val="0"/>
                <w:numId w:val="216"/>
              </w:numPr>
              <w:spacing w:before="60" w:after="60" w:line="240"/>
              <w:ind w:right="0" w:left="454" w:hanging="357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Nákup ostatných hnute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ľn</w:t>
            </w:r>
            <w:r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ých vecí na podporu triedeného zberu komunálnych odpadov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- zberové vozidlá a iné stroje pre zvoz a nakladanie s odpadmi, za nakladanie s ktorými zodpovedá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obec a na ktoré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rozš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írená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ýrobcov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a ktorým nie je biologicky rozlo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kuchynský odpad a 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štauračn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odpad od prevádzkovate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kuchyne (napr. 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ákladné vozidlá, traktory a vle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čky, ťahače, pracovn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stroje), zariadenia na mechanickú úpravu (zmen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šovanie objemu) vybran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vytriedených 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žiek KO, za nakladanie s 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ými zodpovedá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 odpadoch obec a na ktoré sa nevz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ťahuje rozš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írená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ýrobcov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odpadoch a ktorým nie je biologicky rozlo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kuchynský odpad a 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štauračn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odpad od prevádzkovate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kuchyne (napr. drvič biologicky rozložiteľn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KO).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nesmie ukončiť fyzick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realizáciu hlavnej aktivity projektu pred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na RO.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Projekty zameran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 výlu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čne na 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ákup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ostatných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hnute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ľn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ých vecí na podporu triedeného zberu, ktoré samostatne neprispievajú k zvý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šeniu kapacity pre triedenie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  <w:vertAlign w:val="superscript"/>
              </w:rPr>
              <w:t xml:space="preserve">nespĺňaj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  <w:vertAlign w:val="superscript"/>
              </w:rPr>
              <w:t xml:space="preserve">ú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 podmienku poskytnutia príspevku týkajúcu sa oprávnenosti aktivít realizácie projektu.</w:t>
            </w:r>
          </w:p>
        </w:tc>
      </w:tr>
      <w:tr>
        <w:trPr>
          <w:trHeight w:val="344" w:hRule="auto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OPRÁVNENOS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Ť MIESTA REALIZ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ÁCIE PROJEKTU </w:t>
            </w:r>
          </w:p>
        </w:tc>
      </w:tr>
      <w:tr>
        <w:trPr>
          <w:trHeight w:val="278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4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projekt je realizovan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 na oprávnenom území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je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realizova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projekt na opr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ávnenom území. Pre túto výzvu je oprávneným územím celé územie Slovenskej republiky.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</w:t>
            </w: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KRITÉRIÁ PRE VÝBER PROJEKTOV </w:t>
            </w:r>
          </w:p>
        </w:tc>
      </w:tr>
      <w:tr>
        <w:trPr>
          <w:trHeight w:val="132" w:hRule="auto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2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120" w:after="120" w:line="240"/>
              <w:ind w:right="0" w:left="33" w:hanging="33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Podmienky splnenia kritérií pre výber projektov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Kritériá pre výber projektov pozostávajú z hodnotiacich kritérií a z výberových kritérií.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sp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ĺňať hodnotiace krit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ériá a v prípade,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žiadan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NFP v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splnili hodnotiace kritériá presahuje alokáciu výzvy, musí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spĺňať aj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ýberové kritériá.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Kritériá pre výber projektov vrátane spôsobu ich aplikácie sú uvedené v dokumente </w:t>
            </w:r>
            <w:hyperlink xmlns:r="http://schemas.openxmlformats.org/officeDocument/2006/relationships" r:id="docRId18"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Kritériá pre výber projektov OP K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ŽP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Hodnotiace kritériá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sú aplikované odbornými hodnotite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ľmi v procese odborn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hodnotenia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 Prostredn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íctvom hodnotiacich kritérií posudzuje RO kvalitatívnu úrove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projektu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prostredníctvom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rámci hodnotiacich kritérií boli zoh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ľadnen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aj usmer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úce zásady výberu projektov definované v OP 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ŽP. Bližšie inform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sú uvedené v 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Výberové kritériá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aplikuje RO iba v prípade, ke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 z disponibilnej alok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ur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čenej na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ýzvu nie je mo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podpori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všetky ŽoNFP,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splnili kritériá odborného hodnotenia. Na základe výberových kritérií RO vyberá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sú najvhodnej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šie z pohľadu napĺňania strat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égie OP.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 dostato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čnej alok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výberové kritériá neuplat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3436" w:leader="none"/>
              </w:tabs>
              <w:spacing w:before="120" w:after="120" w:line="240"/>
              <w:ind w:right="0" w:left="3436" w:hanging="3436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príspevku: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PODMIENKY POSKYTNUTIA PRÍSPEVKU VYPLÝVAJÚCE Z OSOBITNÝCH PREDPISOV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0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neporu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ákazu nelegálneho zamestnávania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átneho príslu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íka tretej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nesmie porušiť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ákaz nelegálneho zamestnávania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átneho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íka tretej krajiny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osobitn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predpisu za obdobie 4 rokov predchádzajúcich podaniu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4"/>
              </w:numPr>
              <w:spacing w:before="120" w:after="120" w:line="240"/>
              <w:ind w:right="0" w:left="175" w:hanging="21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Podmienky týkajúce sa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a vyplývajúce zo schémy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72" w:leader="none"/>
              </w:tabs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Podmienky týkajúce sa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pre obec a zdru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obc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  <w:p>
            <w:pPr>
              <w:tabs>
                <w:tab w:val="left" w:pos="172" w:leader="none"/>
              </w:tabs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Poskytovanie NFP v rámci tejto výzvy prijímate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ľovi,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ým je obec alebo zdru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obc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í, nie je poskytovaním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pomoci.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/ prij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 berie na vedomie, že realiz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áciou projektu alebo v dôsledku realizácie projektu nesmie dôjs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k poskytnutiu tzv. nepriamej 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alebo k poskytnutiu inej formy výhody, ktorá na základe Zmluvy o fungovaní EÚ znamená poru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pravidiel 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ýkajúcich sa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pomoci. Ak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žiadateľ/prij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 uveden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pravidlo poru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í, nesie za svoje konanie plnú právnu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úvislosti s poru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pravidiel týkajúcich sa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pomoci.</w:t>
            </w:r>
          </w:p>
          <w:p>
            <w:pPr>
              <w:tabs>
                <w:tab w:val="left" w:pos="172" w:leader="none"/>
              </w:tabs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Podmienky vyplývajúce zo schémy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ŠP pre ostatn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typy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</w:t>
            </w:r>
          </w:p>
          <w:p>
            <w:pPr>
              <w:tabs>
                <w:tab w:val="left" w:pos="172" w:leader="none"/>
              </w:tabs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Poskytnutie NFP prijímate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ľovi,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nie je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obec alebo zdru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ženie obc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 rámci tejto výzvy, je poskytnutím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z OP 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ŽP, a teda žiadateľ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sp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ĺňať aj podmienky poskytnutia pomoci vypl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ývajúce zo </w:t>
            </w:r>
            <w:hyperlink xmlns:r="http://schemas.openxmlformats.org/officeDocument/2006/relationships" r:id="docRId19"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"https://www.justice.gov.sk/PortalApp/ObchodnyVestnik/Formular/FormularDetail.aspx?IdFormular=1417215"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chémy 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"https://www.justice.gov.sk/PortalApp/ObchodnyVestnik/Formular/FormularDetail.aspx?IdFormular=1417215"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ŠP</w:t>
              </w:r>
            </w:hyperlink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Ak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/ prij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 nedodrž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šetky podmienky poskytnutia pomoci vypl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ývajúce zo schémy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ŠP, nesie za svoje konanie pln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právnu zodpovednos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ť. Žiadateľ / prij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berie na vedomie, že rovnak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právne následky nastanú aj v prípade, ak v rámci jeho projektu dôjde k poskytnutiu tzv. nepriamej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 alebo k poskytnutiu inej formy výhody, ktorá na základe Zmluvy o fungovaní EÚ znamená poru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pravidiel 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ýkajúcich sa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pomoci.</w:t>
            </w:r>
          </w:p>
          <w:p>
            <w:pPr>
              <w:spacing w:before="24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Bli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žšie inform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o podmienkach týkajúcich sa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átnej pomoci, resp. podmienok vyplývajúcich zo schémy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ŠP,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uvedené v 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0"/>
              </w:numPr>
              <w:spacing w:before="120" w:after="120" w:line="240"/>
              <w:ind w:right="0" w:left="317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Oprávnenos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ť z hľadiska VO na hlavn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ú aktivitu projektu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je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najnesk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ôr ku d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ňu doplnenia ŽoNFP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(v 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ámci administratívneho overovania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ŽoNFP)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VO na všetky 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ákazky hlavnej aktivity projektu minimálne v stave vyhlásené s výnimkou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253"/>
              </w:numPr>
              <w:spacing w:before="120" w:after="120" w:line="240"/>
              <w:ind w:right="0" w:left="312" w:hanging="279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podlimitnej zákazky na dodanie tovaru alebo poskytnutie 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žieb bežne dostupn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trhu, ktorú bude realizova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prostredn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íctvom elektronického trhoviska,</w:t>
            </w:r>
          </w:p>
          <w:p>
            <w:pPr>
              <w:numPr>
                <w:ilvl w:val="0"/>
                <w:numId w:val="253"/>
              </w:numPr>
              <w:spacing w:before="120" w:after="120" w:line="240"/>
              <w:ind w:right="0" w:left="312" w:hanging="279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zákazky s nízkou hodnotou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117 zákona o VO,</w:t>
            </w:r>
          </w:p>
          <w:p>
            <w:pPr>
              <w:numPr>
                <w:ilvl w:val="0"/>
                <w:numId w:val="253"/>
              </w:numPr>
              <w:spacing w:before="120" w:after="120" w:line="240"/>
              <w:ind w:right="0" w:left="312" w:hanging="279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zákazky, ktorá podlieha niektorej z výnimiek uvedených v § 1 zákona o VO.</w:t>
            </w:r>
          </w:p>
          <w:p>
            <w:pPr>
              <w:spacing w:before="120" w:after="120" w:line="240"/>
              <w:ind w:right="0" w:left="33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nie je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ma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ukončen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é, resp. ani za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VO na podporné aktivity projektu.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36c0a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FFFFFF"/>
                <w:spacing w:val="0"/>
                <w:position w:val="0"/>
                <w:sz w:val="21"/>
                <w:shd w:fill="auto" w:val="clear"/>
              </w:rPr>
              <w:t xml:space="preserve">Kategória podmienok poskytnutia príspevku: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ĎALŠIE PODMIENKY POSKYTNUTIA PR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2"/>
                <w:shd w:fill="auto" w:val="clear"/>
              </w:rPr>
              <w:t xml:space="preserve">ÍSPEVKU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0"/>
              </w:numPr>
              <w:spacing w:before="120" w:after="120" w:line="240"/>
              <w:ind w:right="0" w:left="317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Oprávnenos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z hľadiska preuk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ázania súladu s po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žiadavkami v oblasti posudzovania vplyvov navrhovanej činnosti na životn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prostredie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Projekt, ktorý je predmetom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z hľadiska navrhovanej činnosti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žiadavkami v oblasti posudzovania vplyvov navrhovanej činnosti podľa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 posudzovaní vplyvov.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prípade, ak v rámci navrhovanej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činnosti došlo k zmene, zmena navrhovanej činnosti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rovnako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žiadavkami v oblasti posudzovania vplyvu navrhovanej činnosti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so zákonom o posudzovaní vplyvov.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Závery uvedené v závere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čnom stanovisku z posudzovania vplyvov na životn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prostredie (ak navrhovaná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činnosť alebo jej zmena podlieha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ému hodnoteniu alebo z rozhodnutia zo zis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ťovacieho konania vyplynulo, že sa navrhovan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činnosť alebo jej zmena bude ďalej posudzovať podľa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posudzovaní vplyvov) musia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zohľadnen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v povolení na realizáciu projektu, resp. v zmene takéhoto povolenia (t. j. uvedené platí rovnako aj v prípade zmien v povolení na realizáciu projektu).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4"/>
              </w:numPr>
              <w:spacing w:before="120" w:after="120" w:line="240"/>
              <w:ind w:right="0" w:left="170" w:hanging="215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Oprávnenos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z hľadiska s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úladu s horizontálnymi princípmi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Projekt, ktorý je predmetom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 horizontálnymi princípmi udr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žateľn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rozvoj, rovnos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mužov a žien a nediskrimin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ácia, ktoré sú definované v Partnerskej dohode na roky 2014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2020 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čl. 7 a 8 všeobecn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nariadenia.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8"/>
              </w:numPr>
              <w:spacing w:before="120" w:after="120" w:line="240"/>
              <w:ind w:right="0" w:left="312" w:hanging="357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žiadateľ 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 vysporiadané majetkovo-právne vz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ťahy a povolenia na realiz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áciu aktivít projektu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vysporiadania majetkovo-právnych vz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ťahov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preukáza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vzťah /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 (vlastnícke alebo iné), na základe ktorého je oprávnený 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všetky veci, na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má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projekt realizovan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ý. Veci (hnute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a nehnute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é), ktoré majú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zhodnoten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z NFP, musia by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vo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čnom vlastn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žiadateľa. Veci nadobudnut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a/alebo zhodnotené z NFP musia v zmysle zmluvy o NFP zosta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vo 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čnom vlastn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íctve prijímate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aj počas obdobia udržateľnosti projektu, t. j. 5 rokov po ukončen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realizácie aktivít projektu. </w:t>
            </w:r>
          </w:p>
          <w:p>
            <w:pPr>
              <w:keepNext w:val="true"/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ma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povolenie na realiz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áciu aktivít projektu</w:t>
            </w:r>
          </w:p>
          <w:p>
            <w:pPr>
              <w:tabs>
                <w:tab w:val="left" w:pos="9072" w:leader="none"/>
              </w:tabs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je povinn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disponova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 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ávoplatným povolením na realizáciu projektu vydaným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ým povo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ľovac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orgánom (napr. stavebné povolenie), resp. iným povolením/vyjadrením v súlade s platnou právnou úpravou (napr. ohlásenie drobnej stavby), vrátane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šnej projektovej dokument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(ak relevantné).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4"/>
              </w:numPr>
              <w:spacing w:before="120" w:after="120" w:line="240"/>
              <w:ind w:right="0" w:left="317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Oprávnenos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z hľadiska preuk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ázania súladu s po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žiadavkami v oblasti dopadu pl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ánov a projektov na územia sústavy NATURA 2000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Projekt, ktorý je predmetom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nesmie mať pravdepodobne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ýznamný nepriaznivý vplyv na územia sústavy NATURA 2000.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8"/>
              </w:numPr>
              <w:spacing w:before="120" w:after="120" w:line="240"/>
              <w:ind w:right="0" w:left="317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ýdavky projektu sú oprávnené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Výdavky projektu musia by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preuk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ázate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ľne opr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ávnené na financovanie z OP 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ŽP, čo znamen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á,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v súlade s podmienkami oprávnenosti výdavkov podrobne definovanými v dokumente </w:t>
            </w:r>
            <w:hyperlink xmlns:r="http://schemas.openxmlformats.org/officeDocument/2006/relationships" r:id="docRId20"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Príru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čka k opr</w:t>
              </w:r>
              <w:r>
                <w:rPr>
                  <w:rFonts w:ascii="Arial Narrow" w:hAnsi="Arial Narrow" w:cs="Arial Narrow" w:eastAsia="Arial Narrow"/>
                  <w:b/>
                  <w:i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ávnenosti výdavkov pre dopytovo orientované projekty 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"https://www.op-kzp.sk/obsah-dokumenty/prirucka-k-opravnenosti-vydavkov/"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OP K</w:t>
              </w:r>
              <w:r>
                <w:rPr>
                  <w:rFonts w:ascii="Arial Narrow" w:hAnsi="Arial Narrow" w:cs="Arial Narrow" w:eastAsia="Arial Narrow"/>
                  <w:b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ŽP</w:t>
              </w:r>
            </w:hyperlink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ďalej len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íru</w:t>
            </w: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čka k 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“)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 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árove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ň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v súlade s podmienkami upravenými v prílohe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č. 4 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ýzvy - </w:t>
            </w:r>
            <w:r>
              <w:rPr>
                <w:rFonts w:ascii="Arial Narrow" w:hAnsi="Arial Narrow" w:cs="Arial Narrow" w:eastAsia="Arial Narrow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Osobitné podmienky oprávnenosti výdavkov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, pri zachovaní podmienok oprávnenosti výdavkov uvedených v schéme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ŠP (ak relevantn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é).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V prípadoch, v ktorých sa uplat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ňuje princ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íp roz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írenej zodpovednosti výrobcov, bude podpora projektov podmienená jeho dôsledným dodr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žiavan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ím s cie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ľom zamedziť duplicitn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ému financovaniu výdavkov, t. j. výdavky, ktoré majú pod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ľa 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ákona o odpadoch zná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šať 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ýrobcovia, sú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neoprávnené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na financovanie v rámci projektu.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Projekty oprávnené na spolufinancovanie v rámci tejto výzvy sú projektmi, ktoré vytvárajú príjem. V prípade projektov mimo schémy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ŠP ide o projekty podľa čl. 61 všeobecn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nariadenia, ke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ďže predstavuj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investície do infra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štrukt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úry, ktorej pou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ívanie je spoplatnené a priamo hradené 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ívate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ľmi, resp. už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ívatelia platia priamo za tovary a/alebo slu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žby zabezpečen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v rámci projektu. V prípade projektov podliehajúcim pravidlám schémy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ŠP, ide o projekty spadaj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úce pod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čl. 56 GBER.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2"/>
              </w:numPr>
              <w:spacing w:before="120" w:after="120" w:line="240"/>
              <w:ind w:right="0" w:left="317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d4b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Podmienka zákazu predlo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ženia ŽoNFP s rovnak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ým predmetom projektu </w:t>
            </w:r>
          </w:p>
        </w:tc>
        <w:tc>
          <w:tcPr>
            <w:tcW w:w="6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nie je opr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ávnený predlo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žiť ŽoNFP v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ípade, ak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s rovnak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 predmetom projektu 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 bola schv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álená v rámci tejto alebo inej výzvy OP 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ŽP, alebo ak schvaľovanie ŽoNFP s rovnak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 predmetom projektu 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šte nebolo ukončen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právoplatným rozhodnutím o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a st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ále prebieha konanie o predmetnej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(t. j. uveden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obmedzenie sa týka aj prípadov, kedy vo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 vydan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ému rozhodnutiu bolo podané odvolanie v súlade s § 22 zákona o príspevku z 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ŠIF a rozhodnutie nenadobudlo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ávoplatnos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ť).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632"/>
      </w:tblGrid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OVEROVANIE PODMIENOK POSKYTNUTIA PRÍSPEVKU A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ĎALŠIE INFORM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ÁCIE K VÝZVE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Overovanie podmienok poskytnutia príspevku: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v konaní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overuje splnenie podmienok poskytnutia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 v súlade s výzvou a dokumentmi, na ktoré sa výzva odvoláva. Konanie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zač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ína ulo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do e-schr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ánky RO a prebieha v rámci nasledujúcich základných fáz:</w:t>
            </w:r>
          </w:p>
          <w:p>
            <w:pPr>
              <w:numPr>
                <w:ilvl w:val="0"/>
                <w:numId w:val="292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Administratívne overenie;</w:t>
            </w:r>
          </w:p>
          <w:p>
            <w:pPr>
              <w:numPr>
                <w:ilvl w:val="0"/>
                <w:numId w:val="292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Odborné hodnotenie a výber; </w:t>
            </w:r>
          </w:p>
          <w:p>
            <w:pPr>
              <w:numPr>
                <w:ilvl w:val="0"/>
                <w:numId w:val="292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Opravné prostriedky (nepovinná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časť konania).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je oprávnený overi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podmienky poskytnutia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 alebo niektoré z podmienok poskytnutia príspevku v rámci konania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priamo na mieste u žiadateľa. Bližšie inform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o postupe RO v rámci jednotlivých fáz konania sú dostupné v 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Príru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kapitola 4.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v 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ámci tejto výzvy mô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byť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so zákonom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 rozhodnut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nasledovne:</w:t>
            </w:r>
          </w:p>
          <w:p>
            <w:pPr>
              <w:numPr>
                <w:ilvl w:val="0"/>
                <w:numId w:val="294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vydaním rozhodnutia o schválení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</w:t>
            </w:r>
          </w:p>
          <w:p>
            <w:pPr>
              <w:numPr>
                <w:ilvl w:val="0"/>
                <w:numId w:val="294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vydaním rozhodnutia o neschválení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</w:t>
            </w:r>
          </w:p>
          <w:p>
            <w:pPr>
              <w:numPr>
                <w:ilvl w:val="0"/>
                <w:numId w:val="294"/>
              </w:numPr>
              <w:spacing w:before="0" w:after="0" w:line="240"/>
              <w:ind w:right="0" w:left="465" w:hanging="36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vydaním rozhodnutia o zastavení konania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ŽoNFP.</w:t>
            </w:r>
          </w:p>
          <w:p>
            <w:pPr>
              <w:keepNext w:val="true"/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Vyu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žitie 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ásobníka projektov (v súlade s § 21 zákona o príspevku z 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ŠIF)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rámci tejto výzvy RO mô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využiť tzv.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ásobník projektov, t. j.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ávoplatné rozhodnutie o neschválení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a rozhodn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o schv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za predpokladu, že bud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splnené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šetky nasledovn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podmienky:</w:t>
            </w:r>
          </w:p>
          <w:p>
            <w:pPr>
              <w:numPr>
                <w:ilvl w:val="0"/>
                <w:numId w:val="297"/>
              </w:numPr>
              <w:spacing w:before="120" w:after="120" w:line="240"/>
              <w:ind w:right="0" w:left="454" w:hanging="273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rozhodnutie o neschválení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bolo vydan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len z dôvodu nedostatku finan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prostriedkov ur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vo výzve a dôvod neschválenia bol explicitne uvedený v rozhodnutí o neschválení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</w:t>
            </w:r>
          </w:p>
          <w:p>
            <w:pPr>
              <w:numPr>
                <w:ilvl w:val="0"/>
                <w:numId w:val="297"/>
              </w:numPr>
              <w:spacing w:before="120" w:after="120" w:line="240"/>
              <w:ind w:right="0" w:left="454" w:hanging="273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RO disponuje dostato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ými finan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ými prostriedkami ur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ými na zabezpe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čenie financovania projektu,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je predmetom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</w:t>
            </w:r>
          </w:p>
          <w:p>
            <w:pPr>
              <w:numPr>
                <w:ilvl w:val="0"/>
                <w:numId w:val="297"/>
              </w:numPr>
              <w:spacing w:before="120" w:after="120" w:line="240"/>
              <w:ind w:right="0" w:left="454" w:hanging="273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preuk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ázate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ľne spĺňa podmienky poskytnutia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íspevku ur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vo výzve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overenie podmienok poskytnutia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 je predpokladom zmeny rozhodnutia o neschválení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, </w:t>
            </w:r>
          </w:p>
          <w:p>
            <w:pPr>
              <w:numPr>
                <w:ilvl w:val="0"/>
                <w:numId w:val="297"/>
              </w:numPr>
              <w:spacing w:before="120" w:after="120" w:line="240"/>
              <w:ind w:right="0" w:left="454" w:hanging="273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 so zmenou rozhodnutia 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úhlasí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nako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ľko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od vydania rozhodnutia mohol uplyn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dlhš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 a žiadateľ nemus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ma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už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áujem na schválení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je podmienkou zmeny rozhodnutia aj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úhlas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 so zmenou rozhodnutia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RO je pri rozhodovaní o zmene rozhodnutia o neschválení na rozhodnutie o 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viazan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 poradím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bolo ur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na základe aplikácie kritérií pre výber projektov v konaní o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pričom najprv kon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o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dosiahla najvy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ššie umiestnenie spomedzi ŽoNFP, ktor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nebolo mo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 schváli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z d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ôvodu nedostatku finan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prostriedkov ur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vo výzve.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Vyu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žitie z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ásobníka projektov je na výlu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čnom rozhodnut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RO a aj v prípade uvo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ľnenia dostatočn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finan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prostriedkov nie je RO povinný zmeni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rozhodnutie podľa predch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ádzajúceho odseku a mô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že rozhodn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o využit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 disponibilných finan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prostriedkov iným spôsobom (napr. vyhlási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nov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výzvu).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Aplikácia zásobníka projektov je mo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 na rozhodnutia o neschválení vydané v rámci nieko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ľk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ostatných posudzovaných období výzvy. RO postupuje pri aplikácii zásobníka postupne, a to od najstar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šieho posudzovan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ého obdobia výzvy, v ktorom do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šlo k neschv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áleniu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z d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ôvodu vy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čerpania finančn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ých prostriedkov na výzvu.</w:t>
            </w:r>
          </w:p>
          <w:p>
            <w:pPr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Zverej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ňovanie inform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ácií: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zverejní na webovom sídle </w:t>
            </w:r>
            <w:hyperlink xmlns:r="http://schemas.openxmlformats.org/officeDocument/2006/relationships" r:id="docRId21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najneskôr do 60 pracovných dní od skon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čenia rozhodovania o 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 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ámci ka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hodnotiaceho kola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zoznam schválených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 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zoznam neschv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álených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 porad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ur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čenom na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áklade aplikácie kritérií pre výber projektov. V zozname schválených a neschválených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sa zverejňuj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údaje v rozsahu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48 ods.1 a ods. 2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Zárove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CKO zverejňuje na svojom webovom 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ídle údaje o zmluvách o NFP, ktoré nadobudli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činnosť, resp. o 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ávoplatných rozhodnutiach pod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16 ods. 2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ŠIF, v rozsahu podľa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§ 48 ods. 5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 berie na vedomie, že zverejňovan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informácie, ktoré sú pova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žovan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za osobné údaje, sú RO a CKO oprávnení zverejni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aj bez osobitn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súhlasu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 v s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úlade s § 47 zákona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ŠIF.</w:t>
            </w:r>
          </w:p>
          <w:p>
            <w:pPr>
              <w:spacing w:before="240" w:after="120" w:line="240"/>
              <w:ind w:right="0" w:left="0" w:firstLine="0"/>
              <w:jc w:val="lef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Uzavretie zmluvy o NFP: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Po 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zašle SO p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ísomný návrh na uzavretie zmluvy o NFP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žiadateľovi:</w:t>
            </w:r>
          </w:p>
          <w:p>
            <w:pPr>
              <w:numPr>
                <w:ilvl w:val="0"/>
                <w:numId w:val="303"/>
              </w:numPr>
              <w:spacing w:before="120" w:after="120" w:line="240"/>
              <w:ind w:right="0" w:left="317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ktorému rozhodnutie o schválení 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 nadobudlo pr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ávoplatnos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ť a</w:t>
            </w:r>
          </w:p>
          <w:p>
            <w:pPr>
              <w:numPr>
                <w:ilvl w:val="0"/>
                <w:numId w:val="303"/>
              </w:numPr>
              <w:spacing w:before="120" w:after="120" w:line="240"/>
              <w:ind w:right="0" w:left="317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ktorý splnil a zákonné predpoklady pre uzavretie zmluvy o NFP (ak relevantné) a</w:t>
            </w:r>
          </w:p>
          <w:p>
            <w:pPr>
              <w:numPr>
                <w:ilvl w:val="0"/>
                <w:numId w:val="303"/>
              </w:numPr>
              <w:spacing w:before="120" w:after="120" w:line="240"/>
              <w:ind w:right="0" w:left="317" w:hanging="284"/>
              <w:jc w:val="both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ktorý poskytol sú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činnosť potrebn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ú na uzavretie zmluvy o NFP.</w:t>
            </w:r>
          </w:p>
          <w:p>
            <w:pPr>
              <w:spacing w:before="120" w:after="120" w:line="259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Bli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žšie podrobnosti a procesn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postup pri uzatváraní zmluvy o NFP je uvedený v 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Príru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čke pre žiadateľa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, v kapitole 5.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Podmienky poskytnutia príspevku stanovené v tejto výzve sú predmetom overovania v konaní o </w:t>
            </w: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ŽoNFP</w:t>
            </w: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 musia byť splnen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bez oh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ľadu na skutočnosť, či ich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úplné znenie je priamo uvedené v texte výzvy alebo je uvádzané, resp. bli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žšie pop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ísané v dokumente/dokumentoch, na ktoré sa táto výzva odvoláva.</w:t>
            </w:r>
          </w:p>
          <w:p>
            <w:pPr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Spôsob financovania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rámci poskytnutia sú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činnosti pri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íprave zmluvy o NFP má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bola schv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álená v konaní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možnosť zvoliť si jeden z nasledovn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spôsobov financovania: predfinancovanie, refundácia alebo kombinácia predfinancovania a refundácie v súlade s platnou 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čkou pre prij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Forma poskytovaného príspevku: nenávratný finan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 príspevok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IDENTIFIKÁCIA SYNERGICKÝCH A KOMPLEMENTÁRNYCH Ú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ČINKOV 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39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Neboli identifikované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žiadne ďalšie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ýzvy, resp. podporné programy so synergickým, resp. komplementárnym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činkom.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5. ZMENA A ZRU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ÝZVY </w:t>
            </w:r>
          </w:p>
        </w:tc>
      </w:tr>
      <w:tr>
        <w:trPr>
          <w:trHeight w:val="229" w:hRule="auto"/>
          <w:jc w:val="left"/>
        </w:trPr>
        <w:tc>
          <w:tcPr>
            <w:tcW w:w="10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je v súlade s § 17 ods. 6 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 10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ákona o príspevku z 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 opr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ávnený výzvu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alebo zrušiť, a to v 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ípadoch, kedy nie je mo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kona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o ŽoNFP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základe pôvodne vyhlásenej výzvy, alebo je zmena výzvy potrebná za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čelom jej optimaliz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ácie, resp. vhodnej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šieho nastavenia. </w:t>
            </w:r>
          </w:p>
          <w:p>
            <w:pPr>
              <w:keepNext w:val="true"/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Zmena formálnych nále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je oprávnený vykona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zmeny form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álnych nále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výzvy (§ 17 ods. 2 zákona o príspevku z 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ŠIF). Zmeny form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álnych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výzvy, medzi ktoré patrí aj indikatívna vý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ška alok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ácie finan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prostriedkov ur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na výzvu,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je RO oprávnený vykona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aj po uzavret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výzvy.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RO v prípade vykonania zmien formálnych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 posudzuje ich dopad z h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ľadiska zachovania princ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ípov transparentnosti, rovnakého zaobchádzania a primeranosti.</w:t>
            </w:r>
          </w:p>
          <w:p>
            <w:pPr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Zmena a 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ýzvy (iné ne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 zmeny form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álnych nále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í)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je oprávnený výzvu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zmeni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do vydania prv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rozhodnutia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posudzovanej v 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ámci aktuálne posudzovaného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obdobia. Ide o prvé posudzované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obdobie (hodnotiace kolo), v rámci ktorého 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šte nedošlo k vydaniu ani jedn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ého rozhodnutia o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v rámci tohto obdobia (kola).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 je oprávnený aplikova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 zmeny na skupiny ŽoNFP najsk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ôr od tohto obdobia (kola).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Odchylne od predchádzajúcej vety mô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RO stanoviť aj neskorš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termín, ku ktorému sa 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zmeny výzvy (napr. 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 od nasleduj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úceho obdobia - kola). Výzvu je RO oprávnený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s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činnosťou aj na všetky nasleduj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úce posudzovaného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časov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obdobia (kolá). RO je oprávnený za 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ššie uveden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podmienok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ýzvu aj viackrát.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 nesmie zmenou výzvy zú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žiť podmienku poskytnutia pr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 týkajúcej sa oprávnenosti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výzvu, ak z objektívnych dôvodov nie je mo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financova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projekty na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áklade výzvy.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súlade s 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ššie uveden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ým je RO oprávnený výzvu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ť, resp. zrušiť aj po jej uzavret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Rozhodnutia o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vydan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pred zmenou, resp. 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ím výzvy nie sú zmenou/zru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ím výzvy dotknuté.</w:t>
            </w:r>
          </w:p>
          <w:p>
            <w:pPr>
              <w:keepNext w:val="true"/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Úpravy (zmeny), ktoré nie sú zmenou výzvy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 legislatívnych zmien (novelizácia existujúceho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šeobecne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áväzného právneho predpisu alebo vydanie nového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šeobecne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áväzného právneho predpisu), ktoré majú alebo mô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 mať vplyv na zmenu podmienok poskytnutia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íspevku, takáto zmena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nepredstavuje zmenu výzvy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za predpokladu,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 v 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ôsledku legislatívnych zmien nedôjde k zmene vecnej podstaty podmienky poskytnutia príspevku. RO v prípade legislatívnych zmien v takom prípade posudzuje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podľa aktu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álne platného právneho predpisu, re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špektuj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úc prechodné ustanovenia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šeobecne 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áväzného právneho predpisu. V prípade, ak legislatívne zmeny vyvolajú potrebu zmeny v podmienkach poskytnutia príspevku, RO v nadväznosti na ich posúdenie rozhodne o potrebe zmeny alebo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 zmien spojených s predkladaním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prostredn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íctvom ITMS2014+ (napr. zmeny v technickom spôsobe vyp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ĺňania jednotliv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ŽoNFP) tak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éto zmeny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nepredstavujú zmenu výzvy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 o relevantných technických postupoch bude RO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 informovať.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V prípade identifikácie chýb v písaní, v po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čtoch alebo in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zrejmých nesprávností (napr. vyplývajúce z potreby úpravy technických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vybraných vzorových formulárov príloh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alebo in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 alebo dokumentov týkajúcich sa výzvy) takéto zmeny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nepredstavujú zmenu výzvy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a o vykonaných opravách/úpravách RO informuje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 zverejnen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na </w:t>
            </w:r>
            <w:hyperlink xmlns:r="http://schemas.openxmlformats.org/officeDocument/2006/relationships" r:id="docRId22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(vrátane prípadného zverejnenia dokumentu s odstránenou technickou chybou).</w:t>
            </w:r>
          </w:p>
          <w:p>
            <w:pPr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Spôsob vykonania zmeny / 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v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ýzvy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Zmeny formálnych nále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žitost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a ostatné úpravy, ktoré nepredstavujú zmenu výzvy, sú realizované formou informácie.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Zmena výzvy je realizovaná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formou usmernenia k výzve,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ktoré RO zverej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ňuje na </w:t>
            </w:r>
            <w:hyperlink xmlns:r="http://schemas.openxmlformats.org/officeDocument/2006/relationships" r:id="docRId23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Do vykonania zmeny výzvy formou usmernenia sa na výzvu vz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ťahuj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ú podmienky poskytnutia príspevku a dokumenty, ktoré ich definujú (vrátane dokumentov, na ktoré výzva odkazuje), platné v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čase vyhl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ásenia výzvy, resp. v súlade s posledným zverejneným usmernením k výzve.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je realizované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formou informácie o 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ktorú RO zverej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ňuje na </w:t>
            </w:r>
            <w:hyperlink xmlns:r="http://schemas.openxmlformats.org/officeDocument/2006/relationships" r:id="docRId24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žd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é usmernenie k výzve/informácia o zru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 jasným spôsobom identifikuje zmeny výzvy vrátane zdôvodnenia ich vykonania, resp. zdôvodnenie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ýzvy,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ďalej dokument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áciu výzvy, ktorá je zmenou výzvy dotknutá a 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sa zmena /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týka. RO zverej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ňuje spolu s usmernen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ím k výzve aj zmenou dotknuté príslu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dokumenty výzvy, v ktorých sú zmeny vykonané formou sledovania zmien.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Zmena výzvy, resp.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je 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činn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v súlade s informáciou uvedenou v usmernení k výzve/informácii o 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výzvy, najskôr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šak dňom zverejnenia na </w:t>
            </w:r>
            <w:hyperlink xmlns:r="http://schemas.openxmlformats.org/officeDocument/2006/relationships" r:id="docRId25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www.op-kzp.sk</w:t>
              </w:r>
            </w:hyperlink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. 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Pravidlá pre zmenu/zru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šenie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sa rovnako aplikujú na prípad zmien v dokumentoch, na ktoré sa výzva odvoláva a takéto zmeny majú vplyv na zmenu podmienok poskytnutia príspevku.</w:t>
            </w:r>
          </w:p>
          <w:p>
            <w:pPr>
              <w:keepNext w:val="true"/>
              <w:spacing w:before="240" w:after="12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Postup vo vz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ťahu k žiadateľovi</w:t>
            </w:r>
          </w:p>
          <w:p>
            <w:pPr>
              <w:spacing w:before="120" w:after="12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RO umo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žiadateľom v primeranej lehote (nie kratšej ako 15 pracovn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dní) zmeni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ŽoNFP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do termínu zmeny výzvy, o ktorých RO nerozhodol, ak ide o takú zmenu, ktorou mô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žu byť sk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ôr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dotknut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a zárove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 sa zmena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týka aj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ŽoNFP, ktor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boli predlo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pred vykonaním zmeny.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predložen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do dátumu zru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šenia v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ýzvy o ktorých RO nerozhodol, vráti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žiadateľom alebo o ŽoNFP rozhodne, ak je možn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rozhodnú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ť o ŽoNFP podľa podmienok poskytnutia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íspevku platných ku d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ňu predloženia ŽoNFP. Rozhodnutia o ŽoNFP vydan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é pred zmenou výzvy nie sú zmenou výzvy dotknuté.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5"/>
        <w:gridCol w:w="10207"/>
      </w:tblGrid>
      <w:tr>
        <w:trPr>
          <w:trHeight w:val="1" w:hRule="atLeast"/>
          <w:jc w:val="left"/>
        </w:trPr>
        <w:tc>
          <w:tcPr>
            <w:tcW w:w="10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84806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120" w:after="120" w:line="240"/>
              <w:ind w:right="0" w:left="-222" w:firstLine="222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FFFFFF"/>
                <w:spacing w:val="0"/>
                <w:position w:val="0"/>
                <w:sz w:val="28"/>
                <w:shd w:fill="auto" w:val="clear"/>
              </w:rPr>
              <w:t xml:space="preserve">6. PRÍLOHY VÝZVY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0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Formulár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vr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átane (preddefinovaných) formulárov povinných príloh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ŽoNFP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0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Príru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čka pre žiadateľa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0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Zoznam povinných merate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ukazovate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ľov projektu a in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ých údajov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0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Osobitné podmienky oprávnenosti výdavkov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0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Informácia pre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žiadateľov o NFP, resp. o pr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2"/>
                <w:shd w:fill="auto" w:val="clear"/>
              </w:rPr>
              <w:t xml:space="preserve">íspevok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num w:numId="23">
    <w:abstractNumId w:val="198"/>
  </w:num>
  <w:num w:numId="78">
    <w:abstractNumId w:val="192"/>
  </w:num>
  <w:num w:numId="132">
    <w:abstractNumId w:val="186"/>
  </w:num>
  <w:num w:numId="146">
    <w:abstractNumId w:val="180"/>
  </w:num>
  <w:num w:numId="152">
    <w:abstractNumId w:val="174"/>
  </w:num>
  <w:num w:numId="168">
    <w:abstractNumId w:val="168"/>
  </w:num>
  <w:num w:numId="171">
    <w:abstractNumId w:val="162"/>
  </w:num>
  <w:num w:numId="174">
    <w:abstractNumId w:val="156"/>
  </w:num>
  <w:num w:numId="178">
    <w:abstractNumId w:val="150"/>
  </w:num>
  <w:num w:numId="181">
    <w:abstractNumId w:val="144"/>
  </w:num>
  <w:num w:numId="183">
    <w:abstractNumId w:val="138"/>
  </w:num>
  <w:num w:numId="187">
    <w:abstractNumId w:val="132"/>
  </w:num>
  <w:num w:numId="191">
    <w:abstractNumId w:val="126"/>
  </w:num>
  <w:num w:numId="195">
    <w:abstractNumId w:val="120"/>
  </w:num>
  <w:num w:numId="199">
    <w:abstractNumId w:val="114"/>
  </w:num>
  <w:num w:numId="203">
    <w:abstractNumId w:val="108"/>
  </w:num>
  <w:num w:numId="211">
    <w:abstractNumId w:val="102"/>
  </w:num>
  <w:num w:numId="216">
    <w:abstractNumId w:val="96"/>
  </w:num>
  <w:num w:numId="224">
    <w:abstractNumId w:val="90"/>
  </w:num>
  <w:num w:numId="232">
    <w:abstractNumId w:val="84"/>
  </w:num>
  <w:num w:numId="240">
    <w:abstractNumId w:val="78"/>
  </w:num>
  <w:num w:numId="244">
    <w:abstractNumId w:val="72"/>
  </w:num>
  <w:num w:numId="250">
    <w:abstractNumId w:val="66"/>
  </w:num>
  <w:num w:numId="253">
    <w:abstractNumId w:val="60"/>
  </w:num>
  <w:num w:numId="260">
    <w:abstractNumId w:val="54"/>
  </w:num>
  <w:num w:numId="264">
    <w:abstractNumId w:val="48"/>
  </w:num>
  <w:num w:numId="268">
    <w:abstractNumId w:val="42"/>
  </w:num>
  <w:num w:numId="274">
    <w:abstractNumId w:val="36"/>
  </w:num>
  <w:num w:numId="278">
    <w:abstractNumId w:val="30"/>
  </w:num>
  <w:num w:numId="282">
    <w:abstractNumId w:val="24"/>
  </w:num>
  <w:num w:numId="292">
    <w:abstractNumId w:val="18"/>
  </w:num>
  <w:num w:numId="294">
    <w:abstractNumId w:val="12"/>
  </w:num>
  <w:num w:numId="297">
    <w:abstractNumId w:val="6"/>
  </w:num>
  <w:num w:numId="3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uroinfo.sk/" Id="docRId17" Type="http://schemas.openxmlformats.org/officeDocument/2006/relationships/hyperlink" /><Relationship TargetMode="External" Target="http://www.op-kzp.sk/" Id="docRId24" Type="http://schemas.openxmlformats.org/officeDocument/2006/relationships/hyperlink" /><Relationship TargetMode="External" Target="http://www.op-kzp.sk/" Id="docRId7" Type="http://schemas.openxmlformats.org/officeDocument/2006/relationships/hyperlink" /><Relationship TargetMode="External" Target="http://www.op-kzp.sk/" Id="docRId14" Type="http://schemas.openxmlformats.org/officeDocument/2006/relationships/hyperlink" /><Relationship TargetMode="External" Target="http://www.op-kzp.sk/" Id="docRId23" Type="http://schemas.openxmlformats.org/officeDocument/2006/relationships/hyperlink" /><Relationship TargetMode="External" Target="http://www.op-kzp.sk/vyzvy/aktualne-vyzvy/" Id="docRId6" Type="http://schemas.openxmlformats.org/officeDocument/2006/relationships/hyperlink" /><Relationship Target="media/image0.wmf" Id="docRId1" Type="http://schemas.openxmlformats.org/officeDocument/2006/relationships/image" /><Relationship TargetMode="External" Target="http://www.op-kzp.sk/" Id="docRId15" Type="http://schemas.openxmlformats.org/officeDocument/2006/relationships/hyperlink" /><Relationship TargetMode="External" Target="http://www.op-kzp.sk/" Id="docRId22" Type="http://schemas.openxmlformats.org/officeDocument/2006/relationships/hyperlink" /><Relationship TargetMode="External" Target="http://www.op-kzp.sk/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mailto:vyzvy.opkzp@enviro.gov.sk" Id="docRId12" Type="http://schemas.openxmlformats.org/officeDocument/2006/relationships/hyperlink" /><Relationship TargetMode="External" Target="http://www.op-kzp.sk/" Id="docRId16" Type="http://schemas.openxmlformats.org/officeDocument/2006/relationships/hyperlink" /><Relationship TargetMode="External" Target="http://www.op-kzp.sk/projekty/projekty-do-50-mil-e/" Id="docRId21" Type="http://schemas.openxmlformats.org/officeDocument/2006/relationships/hyperlink" /><Relationship TargetMode="External" Target="http://www.op-kzp.sk/" Id="docRId25" Type="http://schemas.openxmlformats.org/officeDocument/2006/relationships/hyperlink" /><Relationship TargetMode="External" Target="https://www.finance.gov.sk/sk/financne-vztahy-eu/povstupove-fondy-eu/programove-obdobie-2014-2020/europske-strukturalne-investicne-fondy/materialy/" Id="docRId4" Type="http://schemas.openxmlformats.org/officeDocument/2006/relationships/hyperlink" /><Relationship TargetMode="External" Target="http://www.op-kzp.sk/" Id="docRId8" Type="http://schemas.openxmlformats.org/officeDocument/2006/relationships/hyperlink" /><Relationship TargetMode="External" Target="http://www.op-kzp.sk/obsah-faq/" Id="docRId13" Type="http://schemas.openxmlformats.org/officeDocument/2006/relationships/hyperlink" /><Relationship TargetMode="External" Target="https://www.op-kzp.sk/obsah-dokumenty/prirucka-k-opravnenosti-vydavkov/" Id="docRId20" Type="http://schemas.openxmlformats.org/officeDocument/2006/relationships/hyperlink" /><Relationship TargetMode="External" Target="http://www.op-kzp.sk/" Id="docRId3" Type="http://schemas.openxmlformats.org/officeDocument/2006/relationships/hyperlink" /><Relationship TargetMode="External" Target="http://www.slovensko.sk/" Id="docRId10" Type="http://schemas.openxmlformats.org/officeDocument/2006/relationships/hyperlink" /><Relationship TargetMode="External" Target="http://www.op-kzp.sk/wp-content/uploads/2015/07/Kriteria_na_vyber_projektov_OPKZP-verzia-2.1.pdf" Id="docRId18" Type="http://schemas.openxmlformats.org/officeDocument/2006/relationships/hyperlink" /><Relationship TargetMode="External" Target="https://www.op-kzp.sk/wp-content/uploads/2016/03/Schema-SP-pre-miestne-infrastruktury-v-zneni-D1.pdf" Id="docRId2" Type="http://schemas.openxmlformats.org/officeDocument/2006/relationships/hyperlink" /><Relationship Target="styles.xml" Id="docRId27" Type="http://schemas.openxmlformats.org/officeDocument/2006/relationships/styles" /><Relationship TargetMode="External" Target="http://www.op-kzp.sk/" Id="docRId11" Type="http://schemas.openxmlformats.org/officeDocument/2006/relationships/hyperlink" /><Relationship TargetMode="External" Target="https://www.justice.gov.sk/PortalApp/ObchodnyVestnik/Formular/FormularDetail.aspx?IdFormular=1417215" Id="docRId19" Type="http://schemas.openxmlformats.org/officeDocument/2006/relationships/hyperlink" /><Relationship Target="numbering.xml" Id="docRId26" Type="http://schemas.openxmlformats.org/officeDocument/2006/relationships/numbering" /><Relationship TargetMode="External" Target="http://www.op-kzp.sk/" Id="docRId5" Type="http://schemas.openxmlformats.org/officeDocument/2006/relationships/hyperlink" /></Relationships>
</file>