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FAF" w:rsidRDefault="000E1988" w:rsidP="000E1988">
      <w:pPr>
        <w:tabs>
          <w:tab w:val="left" w:pos="780"/>
          <w:tab w:val="left" w:pos="2127"/>
          <w:tab w:val="center" w:pos="7002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6731F4">
        <w:rPr>
          <w:noProof/>
          <w:lang w:eastAsia="sk-SK"/>
        </w:rPr>
        <w:drawing>
          <wp:anchor distT="0" distB="0" distL="114300" distR="114300" simplePos="0" relativeHeight="251657728" behindDoc="0" locked="0" layoutInCell="1" allowOverlap="1" wp14:anchorId="52901C82" wp14:editId="7DA27885">
            <wp:simplePos x="0" y="0"/>
            <wp:positionH relativeFrom="column">
              <wp:posOffset>7923482</wp:posOffset>
            </wp:positionH>
            <wp:positionV relativeFrom="paragraph">
              <wp:posOffset>-155992</wp:posOffset>
            </wp:positionV>
            <wp:extent cx="934833" cy="621655"/>
            <wp:effectExtent l="0" t="0" r="0" b="762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530" cy="6261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5FAF">
        <w:rPr>
          <w:noProof/>
          <w:lang w:eastAsia="sk-SK"/>
        </w:rPr>
        <mc:AlternateContent>
          <mc:Choice Requires="wpc">
            <w:drawing>
              <wp:anchor distT="0" distB="0" distL="114300" distR="114300" simplePos="0" relativeHeight="251656704" behindDoc="0" locked="0" layoutInCell="1" allowOverlap="1" wp14:anchorId="5CF68997" wp14:editId="790948AF">
                <wp:simplePos x="0" y="0"/>
                <wp:positionH relativeFrom="column">
                  <wp:posOffset>7592060</wp:posOffset>
                </wp:positionH>
                <wp:positionV relativeFrom="paragraph">
                  <wp:posOffset>-141605</wp:posOffset>
                </wp:positionV>
                <wp:extent cx="1257300" cy="834390"/>
                <wp:effectExtent l="0" t="0" r="0" b="0"/>
                <wp:wrapNone/>
                <wp:docPr id="4" name="Kresliace plátno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544246" id="Kresliace plátno 4" o:spid="_x0000_s1026" editas="canvas" style="position:absolute;margin-left:597.8pt;margin-top:-11.15pt;width:99pt;height:65.7pt;z-index:251656704" coordsize="12573,8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2573;height:8343;visibility:visible;mso-wrap-style:square">
                  <v:fill o:detectmouseclick="t"/>
                  <v:path o:connecttype="none"/>
                </v:shape>
              </v:group>
            </w:pict>
          </mc:Fallback>
        </mc:AlternateContent>
      </w:r>
    </w:p>
    <w:p w:rsidR="008F75D1" w:rsidRDefault="008F75D1" w:rsidP="005E5FAF">
      <w:pPr>
        <w:jc w:val="center"/>
        <w:rPr>
          <w:b/>
        </w:rPr>
      </w:pPr>
    </w:p>
    <w:p w:rsidR="005E5FAF" w:rsidRDefault="005E5FAF" w:rsidP="005E5FAF">
      <w:pPr>
        <w:jc w:val="center"/>
        <w:rPr>
          <w:b/>
          <w:sz w:val="24"/>
          <w:szCs w:val="24"/>
        </w:rPr>
      </w:pPr>
      <w:r>
        <w:rPr>
          <w:b/>
        </w:rPr>
        <w:t>Riadiaci orgán pre Operačný program Kvalita životného prostredia</w:t>
      </w:r>
    </w:p>
    <w:p w:rsidR="008F75D1" w:rsidRDefault="008F75D1" w:rsidP="005E5FAF">
      <w:pPr>
        <w:jc w:val="center"/>
        <w:rPr>
          <w:b/>
          <w:sz w:val="48"/>
          <w:szCs w:val="48"/>
        </w:rPr>
      </w:pPr>
    </w:p>
    <w:p w:rsidR="005E5FAF" w:rsidRDefault="005E5FAF" w:rsidP="00037034">
      <w:pPr>
        <w:spacing w:before="24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Podklad k bodu č. </w:t>
      </w:r>
      <w:r w:rsidR="00EC7C04">
        <w:rPr>
          <w:b/>
          <w:sz w:val="48"/>
          <w:szCs w:val="48"/>
        </w:rPr>
        <w:t>5</w:t>
      </w:r>
      <w:r>
        <w:rPr>
          <w:b/>
          <w:sz w:val="48"/>
          <w:szCs w:val="48"/>
        </w:rPr>
        <w:t xml:space="preserve"> programu </w:t>
      </w:r>
    </w:p>
    <w:p w:rsidR="005E5FAF" w:rsidRDefault="006731F4" w:rsidP="005E5FA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4</w:t>
      </w:r>
      <w:r w:rsidR="005E5FAF">
        <w:rPr>
          <w:b/>
          <w:sz w:val="48"/>
          <w:szCs w:val="48"/>
        </w:rPr>
        <w:t xml:space="preserve">. zasadnutia Monitorovacieho výboru </w:t>
      </w:r>
    </w:p>
    <w:p w:rsidR="005E5FAF" w:rsidRDefault="005E5FAF" w:rsidP="005E5FA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pre Operačný program Kvalita životného prostredia</w:t>
      </w:r>
    </w:p>
    <w:p w:rsidR="005E5FAF" w:rsidRDefault="005E5FAF" w:rsidP="005E5FAF">
      <w:pPr>
        <w:rPr>
          <w:b/>
          <w:sz w:val="24"/>
          <w:szCs w:val="24"/>
        </w:rPr>
      </w:pPr>
      <w:r>
        <w:t xml:space="preserve"> </w:t>
      </w:r>
    </w:p>
    <w:p w:rsidR="005E5FAF" w:rsidRPr="008D224B" w:rsidRDefault="005E5FAF" w:rsidP="005E5FAF">
      <w:pPr>
        <w:jc w:val="center"/>
        <w:rPr>
          <w:b/>
          <w:sz w:val="32"/>
          <w:szCs w:val="32"/>
        </w:rPr>
      </w:pPr>
      <w:r w:rsidRPr="008D224B">
        <w:rPr>
          <w:b/>
          <w:sz w:val="32"/>
          <w:szCs w:val="32"/>
        </w:rPr>
        <w:t>Návrh revízie OP KŽP</w:t>
      </w:r>
    </w:p>
    <w:p w:rsidR="005E5FAF" w:rsidRDefault="005E5FAF" w:rsidP="005E5FAF">
      <w:pPr>
        <w:numPr>
          <w:ilvl w:val="0"/>
          <w:numId w:val="1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Členom MV sa predkladá na schválenie</w:t>
      </w:r>
      <w:bookmarkStart w:id="0" w:name="_GoBack"/>
      <w:bookmarkEnd w:id="0"/>
    </w:p>
    <w:p w:rsidR="005E5FAF" w:rsidRDefault="005E5FAF" w:rsidP="005E5FA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(článok 2 ods. 3 písm. f) štatútu MV)</w:t>
      </w:r>
    </w:p>
    <w:p w:rsidR="005E5FAF" w:rsidRDefault="005E5FAF" w:rsidP="005E5FAF">
      <w:pPr>
        <w:jc w:val="center"/>
      </w:pPr>
      <w:r>
        <w:rPr>
          <w:b/>
          <w:noProof/>
          <w:sz w:val="36"/>
          <w:szCs w:val="36"/>
          <w:lang w:eastAsia="sk-SK"/>
        </w:rPr>
        <w:drawing>
          <wp:inline distT="0" distB="0" distL="0" distR="0" wp14:anchorId="743651D0" wp14:editId="62ED9CA9">
            <wp:extent cx="2216785" cy="741680"/>
            <wp:effectExtent l="0" t="0" r="0" b="1270"/>
            <wp:docPr id="1" name="Obrázok 1" descr="logo_op kzp_C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logo_op kzp_C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78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51A" w:rsidRDefault="0088351A" w:rsidP="005E5FAF">
      <w:pPr>
        <w:jc w:val="center"/>
      </w:pPr>
    </w:p>
    <w:p w:rsidR="008F75D1" w:rsidRPr="000E1988" w:rsidRDefault="009C25A8" w:rsidP="002D083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988">
        <w:rPr>
          <w:rFonts w:ascii="Times New Roman" w:hAnsi="Times New Roman" w:cs="Times New Roman"/>
          <w:sz w:val="24"/>
          <w:szCs w:val="24"/>
        </w:rPr>
        <w:lastRenderedPageBreak/>
        <w:t>Ministerstvo životného prostredia SR</w:t>
      </w:r>
      <w:r w:rsidR="00862B4E">
        <w:rPr>
          <w:rFonts w:ascii="Times New Roman" w:hAnsi="Times New Roman" w:cs="Times New Roman"/>
          <w:sz w:val="24"/>
          <w:szCs w:val="24"/>
        </w:rPr>
        <w:t>,</w:t>
      </w:r>
      <w:r w:rsidRPr="000E1988">
        <w:rPr>
          <w:rFonts w:ascii="Times New Roman" w:hAnsi="Times New Roman" w:cs="Times New Roman"/>
          <w:sz w:val="24"/>
          <w:szCs w:val="24"/>
        </w:rPr>
        <w:t xml:space="preserve"> ako </w:t>
      </w:r>
      <w:r w:rsidR="008F75D1" w:rsidRPr="000E1988">
        <w:rPr>
          <w:rFonts w:ascii="Times New Roman" w:hAnsi="Times New Roman" w:cs="Times New Roman"/>
          <w:sz w:val="24"/>
          <w:szCs w:val="24"/>
        </w:rPr>
        <w:t>R</w:t>
      </w:r>
      <w:r w:rsidRPr="000E1988">
        <w:rPr>
          <w:rFonts w:ascii="Times New Roman" w:hAnsi="Times New Roman" w:cs="Times New Roman"/>
          <w:sz w:val="24"/>
          <w:szCs w:val="24"/>
        </w:rPr>
        <w:t xml:space="preserve">iadiaci orgán </w:t>
      </w:r>
      <w:r w:rsidR="00B01293" w:rsidRPr="000E1988">
        <w:rPr>
          <w:rFonts w:ascii="Times New Roman" w:hAnsi="Times New Roman" w:cs="Times New Roman"/>
          <w:sz w:val="24"/>
          <w:szCs w:val="24"/>
        </w:rPr>
        <w:t xml:space="preserve">(RO) </w:t>
      </w:r>
      <w:r w:rsidRPr="000E1988">
        <w:rPr>
          <w:rFonts w:ascii="Times New Roman" w:hAnsi="Times New Roman" w:cs="Times New Roman"/>
          <w:sz w:val="24"/>
          <w:szCs w:val="24"/>
        </w:rPr>
        <w:t xml:space="preserve">pre </w:t>
      </w:r>
      <w:r w:rsidR="008F75D1" w:rsidRPr="000E1988">
        <w:rPr>
          <w:rFonts w:ascii="Times New Roman" w:hAnsi="Times New Roman" w:cs="Times New Roman"/>
          <w:sz w:val="24"/>
          <w:szCs w:val="24"/>
        </w:rPr>
        <w:t>Operačný program Kvalita životného prostredia (OP KŽP)</w:t>
      </w:r>
      <w:r w:rsidR="00862B4E">
        <w:rPr>
          <w:rFonts w:ascii="Times New Roman" w:hAnsi="Times New Roman" w:cs="Times New Roman"/>
          <w:sz w:val="24"/>
          <w:szCs w:val="24"/>
        </w:rPr>
        <w:t>,</w:t>
      </w:r>
      <w:r w:rsidRPr="000E1988">
        <w:rPr>
          <w:rFonts w:ascii="Times New Roman" w:hAnsi="Times New Roman" w:cs="Times New Roman"/>
          <w:sz w:val="24"/>
          <w:szCs w:val="24"/>
        </w:rPr>
        <w:t xml:space="preserve"> navrhuje </w:t>
      </w:r>
      <w:r w:rsidR="00B01293" w:rsidRPr="000E1988">
        <w:rPr>
          <w:rFonts w:ascii="Times New Roman" w:hAnsi="Times New Roman" w:cs="Times New Roman"/>
          <w:sz w:val="24"/>
          <w:szCs w:val="24"/>
        </w:rPr>
        <w:t>a predkladá členom Monitorovacieho výboru pre OP</w:t>
      </w:r>
      <w:r w:rsidR="00FD6C4C" w:rsidRPr="000E1988">
        <w:rPr>
          <w:rFonts w:ascii="Times New Roman" w:hAnsi="Times New Roman" w:cs="Times New Roman"/>
          <w:sz w:val="24"/>
          <w:szCs w:val="24"/>
        </w:rPr>
        <w:t xml:space="preserve"> </w:t>
      </w:r>
      <w:r w:rsidR="00B01293" w:rsidRPr="000E1988">
        <w:rPr>
          <w:rFonts w:ascii="Times New Roman" w:hAnsi="Times New Roman" w:cs="Times New Roman"/>
          <w:sz w:val="24"/>
          <w:szCs w:val="24"/>
        </w:rPr>
        <w:t xml:space="preserve">KŽP </w:t>
      </w:r>
      <w:r w:rsidR="00FD6C4C" w:rsidRPr="000E1988">
        <w:rPr>
          <w:rFonts w:ascii="Times New Roman" w:hAnsi="Times New Roman" w:cs="Times New Roman"/>
          <w:sz w:val="24"/>
          <w:szCs w:val="24"/>
        </w:rPr>
        <w:t>(</w:t>
      </w:r>
      <w:r w:rsidR="00B2339D">
        <w:rPr>
          <w:rFonts w:ascii="Times New Roman" w:hAnsi="Times New Roman" w:cs="Times New Roman"/>
          <w:sz w:val="24"/>
          <w:szCs w:val="24"/>
        </w:rPr>
        <w:t>monitorovací výbor</w:t>
      </w:r>
      <w:r w:rsidR="00FD6C4C" w:rsidRPr="000E1988">
        <w:rPr>
          <w:rFonts w:ascii="Times New Roman" w:hAnsi="Times New Roman" w:cs="Times New Roman"/>
          <w:sz w:val="24"/>
          <w:szCs w:val="24"/>
        </w:rPr>
        <w:t xml:space="preserve">) </w:t>
      </w:r>
      <w:r w:rsidR="00862B4E">
        <w:rPr>
          <w:rFonts w:ascii="Times New Roman" w:hAnsi="Times New Roman" w:cs="Times New Roman"/>
          <w:sz w:val="24"/>
          <w:szCs w:val="24"/>
        </w:rPr>
        <w:t xml:space="preserve">na schválenie </w:t>
      </w:r>
      <w:r w:rsidR="00B01293" w:rsidRPr="000E1988">
        <w:rPr>
          <w:rFonts w:ascii="Times New Roman" w:hAnsi="Times New Roman" w:cs="Times New Roman"/>
          <w:sz w:val="24"/>
          <w:szCs w:val="24"/>
        </w:rPr>
        <w:t xml:space="preserve">zmenu </w:t>
      </w:r>
      <w:r w:rsidRPr="000E1988">
        <w:rPr>
          <w:rFonts w:ascii="Times New Roman" w:hAnsi="Times New Roman" w:cs="Times New Roman"/>
          <w:sz w:val="24"/>
          <w:szCs w:val="24"/>
        </w:rPr>
        <w:t>operačného programu</w:t>
      </w:r>
      <w:r w:rsidR="00B01293" w:rsidRPr="000E1988">
        <w:rPr>
          <w:rFonts w:ascii="Times New Roman" w:hAnsi="Times New Roman" w:cs="Times New Roman"/>
          <w:sz w:val="24"/>
          <w:szCs w:val="24"/>
        </w:rPr>
        <w:t xml:space="preserve">. </w:t>
      </w:r>
      <w:r w:rsidRPr="000E1988">
        <w:rPr>
          <w:rFonts w:ascii="Times New Roman" w:hAnsi="Times New Roman" w:cs="Times New Roman"/>
          <w:sz w:val="24"/>
          <w:szCs w:val="24"/>
        </w:rPr>
        <w:t xml:space="preserve"> </w:t>
      </w:r>
      <w:r w:rsidR="00B01293" w:rsidRPr="000E1988">
        <w:rPr>
          <w:rFonts w:ascii="Times New Roman" w:hAnsi="Times New Roman" w:cs="Times New Roman"/>
          <w:sz w:val="24"/>
          <w:szCs w:val="24"/>
        </w:rPr>
        <w:t>Zmena OP KŽP spočíva v</w:t>
      </w:r>
      <w:r w:rsidR="00A44438">
        <w:rPr>
          <w:rFonts w:ascii="Times New Roman" w:hAnsi="Times New Roman" w:cs="Times New Roman"/>
          <w:sz w:val="24"/>
          <w:szCs w:val="24"/>
        </w:rPr>
        <w:t> </w:t>
      </w:r>
      <w:r w:rsidR="00A44438" w:rsidRPr="002D0834">
        <w:rPr>
          <w:rFonts w:ascii="Times New Roman" w:hAnsi="Times New Roman" w:cs="Times New Roman"/>
          <w:b/>
          <w:sz w:val="24"/>
          <w:szCs w:val="24"/>
        </w:rPr>
        <w:t xml:space="preserve">presune finančných prostriedkov medzi </w:t>
      </w:r>
      <w:r w:rsidR="00256F76" w:rsidRPr="002D0834">
        <w:rPr>
          <w:rFonts w:ascii="Times New Roman" w:hAnsi="Times New Roman" w:cs="Times New Roman"/>
          <w:b/>
          <w:sz w:val="24"/>
          <w:szCs w:val="24"/>
        </w:rPr>
        <w:t xml:space="preserve">oblasťami </w:t>
      </w:r>
      <w:r w:rsidR="00546405" w:rsidRPr="002D0834">
        <w:rPr>
          <w:rFonts w:ascii="Times New Roman" w:hAnsi="Times New Roman" w:cs="Times New Roman"/>
          <w:b/>
          <w:sz w:val="24"/>
          <w:szCs w:val="24"/>
        </w:rPr>
        <w:t>intervenci</w:t>
      </w:r>
      <w:r w:rsidR="00256F76" w:rsidRPr="002D0834">
        <w:rPr>
          <w:rFonts w:ascii="Times New Roman" w:hAnsi="Times New Roman" w:cs="Times New Roman"/>
          <w:b/>
          <w:sz w:val="24"/>
          <w:szCs w:val="24"/>
        </w:rPr>
        <w:t>e</w:t>
      </w:r>
      <w:r w:rsidR="00F525BC" w:rsidRPr="002D0834">
        <w:rPr>
          <w:rFonts w:ascii="Times New Roman" w:hAnsi="Times New Roman" w:cs="Times New Roman"/>
          <w:b/>
          <w:sz w:val="24"/>
          <w:szCs w:val="24"/>
        </w:rPr>
        <w:t xml:space="preserve"> v rámci investičnej priority </w:t>
      </w:r>
      <w:r w:rsidR="00F525BC" w:rsidRPr="00E1273C">
        <w:rPr>
          <w:rFonts w:ascii="Times New Roman" w:hAnsi="Times New Roman" w:cs="Times New Roman"/>
          <w:b/>
          <w:i/>
          <w:sz w:val="24"/>
          <w:szCs w:val="24"/>
        </w:rPr>
        <w:t xml:space="preserve">1 </w:t>
      </w:r>
      <w:r w:rsidR="00F525BC" w:rsidRPr="002D0834">
        <w:rPr>
          <w:rFonts w:ascii="Times New Roman" w:hAnsi="Times New Roman" w:cs="Times New Roman"/>
          <w:b/>
          <w:i/>
          <w:sz w:val="24"/>
          <w:szCs w:val="24"/>
        </w:rPr>
        <w:t xml:space="preserve">Investovanie do sektora odpadového hospodárstva </w:t>
      </w:r>
      <w:r w:rsidR="00F525BC">
        <w:rPr>
          <w:rFonts w:ascii="Times New Roman" w:hAnsi="Times New Roman" w:cs="Times New Roman"/>
          <w:i/>
          <w:sz w:val="24"/>
          <w:szCs w:val="24"/>
        </w:rPr>
        <w:t xml:space="preserve">s cieľom splniť požiadavky environmentálneho acquis Únie a pokryť potreby, ktoré členské štáty špecifikovali v súvislosti s investíciami nad rámec uvedených činností </w:t>
      </w:r>
      <w:r w:rsidR="008F75D1" w:rsidRPr="000E1988">
        <w:rPr>
          <w:rFonts w:ascii="Times New Roman" w:hAnsi="Times New Roman" w:cs="Times New Roman"/>
          <w:sz w:val="24"/>
          <w:szCs w:val="24"/>
        </w:rPr>
        <w:t xml:space="preserve">prioritnej osi 1 Udržateľné využívanie prírodných zdrojov prostredníctvom rozvoja environmentálnej infraštruktúry. </w:t>
      </w:r>
      <w:r w:rsidR="007E0A03">
        <w:rPr>
          <w:rFonts w:ascii="Times New Roman" w:hAnsi="Times New Roman" w:cs="Times New Roman"/>
          <w:sz w:val="24"/>
          <w:szCs w:val="24"/>
        </w:rPr>
        <w:t>K</w:t>
      </w:r>
      <w:r w:rsidR="008F75D1" w:rsidRPr="000E1988">
        <w:rPr>
          <w:rFonts w:ascii="Times New Roman" w:hAnsi="Times New Roman" w:cs="Times New Roman"/>
          <w:sz w:val="24"/>
          <w:szCs w:val="24"/>
        </w:rPr>
        <w:t>onkrétne</w:t>
      </w:r>
      <w:r w:rsidR="007E0A03">
        <w:rPr>
          <w:rFonts w:ascii="Times New Roman" w:hAnsi="Times New Roman" w:cs="Times New Roman"/>
          <w:sz w:val="24"/>
          <w:szCs w:val="24"/>
        </w:rPr>
        <w:t xml:space="preserve"> ide</w:t>
      </w:r>
      <w:r w:rsidR="008F75D1" w:rsidRPr="000E1988">
        <w:rPr>
          <w:rFonts w:ascii="Times New Roman" w:hAnsi="Times New Roman" w:cs="Times New Roman"/>
          <w:sz w:val="24"/>
          <w:szCs w:val="24"/>
        </w:rPr>
        <w:t xml:space="preserve"> o</w:t>
      </w:r>
      <w:r w:rsidR="007E0A03">
        <w:rPr>
          <w:rFonts w:ascii="Times New Roman" w:hAnsi="Times New Roman" w:cs="Times New Roman"/>
          <w:sz w:val="24"/>
          <w:szCs w:val="24"/>
        </w:rPr>
        <w:t> </w:t>
      </w:r>
      <w:r w:rsidR="007E0A03" w:rsidRPr="002D0834">
        <w:rPr>
          <w:rFonts w:ascii="Times New Roman" w:hAnsi="Times New Roman" w:cs="Times New Roman"/>
          <w:b/>
          <w:sz w:val="24"/>
          <w:szCs w:val="24"/>
        </w:rPr>
        <w:t xml:space="preserve">presun finančných prostriedkov </w:t>
      </w:r>
      <w:r w:rsidR="008F75D1" w:rsidRPr="002D0834">
        <w:rPr>
          <w:rFonts w:ascii="Times New Roman" w:hAnsi="Times New Roman" w:cs="Times New Roman"/>
          <w:b/>
          <w:sz w:val="24"/>
          <w:szCs w:val="24"/>
        </w:rPr>
        <w:t xml:space="preserve">medzi nasledovnými </w:t>
      </w:r>
      <w:r w:rsidR="007E0A03" w:rsidRPr="002D0834">
        <w:rPr>
          <w:rFonts w:ascii="Times New Roman" w:hAnsi="Times New Roman" w:cs="Times New Roman"/>
          <w:b/>
          <w:sz w:val="24"/>
          <w:szCs w:val="24"/>
        </w:rPr>
        <w:t xml:space="preserve">oblasťami </w:t>
      </w:r>
      <w:r w:rsidR="008F75D1" w:rsidRPr="002D0834">
        <w:rPr>
          <w:rFonts w:ascii="Times New Roman" w:hAnsi="Times New Roman" w:cs="Times New Roman"/>
          <w:b/>
          <w:sz w:val="24"/>
          <w:szCs w:val="24"/>
        </w:rPr>
        <w:t>intervencií</w:t>
      </w:r>
      <w:r w:rsidR="007E0A03">
        <w:rPr>
          <w:rFonts w:ascii="Times New Roman" w:hAnsi="Times New Roman" w:cs="Times New Roman"/>
          <w:sz w:val="24"/>
          <w:szCs w:val="24"/>
        </w:rPr>
        <w:t xml:space="preserve">, </w:t>
      </w:r>
      <w:r w:rsidR="00BA150D" w:rsidRPr="000E1988">
        <w:rPr>
          <w:rFonts w:ascii="Times New Roman" w:hAnsi="Times New Roman" w:cs="Times New Roman"/>
          <w:sz w:val="24"/>
          <w:szCs w:val="24"/>
        </w:rPr>
        <w:t>v</w:t>
      </w:r>
      <w:r w:rsidR="007E0A03">
        <w:rPr>
          <w:rFonts w:ascii="Times New Roman" w:hAnsi="Times New Roman" w:cs="Times New Roman"/>
          <w:sz w:val="24"/>
          <w:szCs w:val="24"/>
        </w:rPr>
        <w:t>zťahujúcimi sa na</w:t>
      </w:r>
      <w:r w:rsidR="00BA150D" w:rsidRPr="000E1988">
        <w:rPr>
          <w:rFonts w:ascii="Times New Roman" w:hAnsi="Times New Roman" w:cs="Times New Roman"/>
          <w:sz w:val="24"/>
          <w:szCs w:val="24"/>
        </w:rPr>
        <w:t> odpadové hospodárstv</w:t>
      </w:r>
      <w:r w:rsidR="007E0A03">
        <w:rPr>
          <w:rFonts w:ascii="Times New Roman" w:hAnsi="Times New Roman" w:cs="Times New Roman"/>
          <w:sz w:val="24"/>
          <w:szCs w:val="24"/>
        </w:rPr>
        <w:t>o</w:t>
      </w:r>
      <w:r w:rsidR="008F75D1" w:rsidRPr="000E1988">
        <w:rPr>
          <w:rFonts w:ascii="Times New Roman" w:hAnsi="Times New Roman" w:cs="Times New Roman"/>
          <w:sz w:val="24"/>
          <w:szCs w:val="24"/>
        </w:rPr>
        <w:t>:</w:t>
      </w:r>
    </w:p>
    <w:p w:rsidR="008F75D1" w:rsidRPr="002D0834" w:rsidRDefault="00546405" w:rsidP="007E0A03">
      <w:pPr>
        <w:pStyle w:val="Odsekzoznamu"/>
        <w:numPr>
          <w:ilvl w:val="0"/>
          <w:numId w:val="6"/>
        </w:numPr>
        <w:jc w:val="both"/>
        <w:rPr>
          <w:b/>
        </w:rPr>
      </w:pPr>
      <w:r w:rsidRPr="002D0834">
        <w:rPr>
          <w:rFonts w:eastAsiaTheme="minorHAnsi"/>
          <w:b/>
          <w:lang w:eastAsia="en-US"/>
        </w:rPr>
        <w:t>017</w:t>
      </w:r>
      <w:r w:rsidR="006009B6" w:rsidRPr="002D0834">
        <w:rPr>
          <w:rFonts w:eastAsiaTheme="minorHAnsi"/>
          <w:b/>
          <w:lang w:eastAsia="en-US"/>
        </w:rPr>
        <w:t xml:space="preserve"> </w:t>
      </w:r>
      <w:r w:rsidR="008F75D1" w:rsidRPr="002D0834">
        <w:rPr>
          <w:rFonts w:eastAsiaTheme="minorHAnsi"/>
          <w:b/>
          <w:lang w:eastAsia="en-US"/>
        </w:rPr>
        <w:t xml:space="preserve">- </w:t>
      </w:r>
      <w:r w:rsidR="006009B6" w:rsidRPr="002D0834">
        <w:rPr>
          <w:rFonts w:eastAsiaTheme="minorHAnsi"/>
          <w:b/>
          <w:lang w:eastAsia="en-US"/>
        </w:rPr>
        <w:t>Nakladanie s domovým odpadom (vrátane opatrení na minimalizáciu, triedenie, recykláciu)</w:t>
      </w:r>
      <w:r w:rsidR="002177EA" w:rsidRPr="002D0834">
        <w:rPr>
          <w:rFonts w:eastAsiaTheme="minorHAnsi"/>
          <w:b/>
          <w:lang w:eastAsia="en-US"/>
        </w:rPr>
        <w:t xml:space="preserve"> (ďalej aj 017)</w:t>
      </w:r>
      <w:r w:rsidRPr="002D0834">
        <w:rPr>
          <w:rFonts w:eastAsiaTheme="minorHAnsi"/>
          <w:b/>
          <w:lang w:eastAsia="en-US"/>
        </w:rPr>
        <w:t>,</w:t>
      </w:r>
    </w:p>
    <w:p w:rsidR="008F75D1" w:rsidRPr="002D0834" w:rsidRDefault="00546405" w:rsidP="007E0A03">
      <w:pPr>
        <w:pStyle w:val="Odsekzoznamu"/>
        <w:numPr>
          <w:ilvl w:val="0"/>
          <w:numId w:val="6"/>
        </w:numPr>
        <w:jc w:val="both"/>
        <w:rPr>
          <w:b/>
        </w:rPr>
      </w:pPr>
      <w:r w:rsidRPr="002D0834">
        <w:rPr>
          <w:rFonts w:eastAsiaTheme="minorHAnsi"/>
          <w:b/>
          <w:lang w:eastAsia="en-US"/>
        </w:rPr>
        <w:t>018</w:t>
      </w:r>
      <w:r w:rsidR="004C7FF7" w:rsidRPr="002D0834">
        <w:rPr>
          <w:rFonts w:eastAsiaTheme="minorHAnsi"/>
          <w:b/>
          <w:lang w:eastAsia="en-US"/>
        </w:rPr>
        <w:t> </w:t>
      </w:r>
      <w:r w:rsidR="008F75D1" w:rsidRPr="002D0834">
        <w:rPr>
          <w:rFonts w:eastAsiaTheme="minorHAnsi"/>
          <w:b/>
          <w:lang w:eastAsia="en-US"/>
        </w:rPr>
        <w:t xml:space="preserve">- </w:t>
      </w:r>
      <w:r w:rsidR="006009B6" w:rsidRPr="002D0834">
        <w:rPr>
          <w:rFonts w:eastAsiaTheme="minorHAnsi"/>
          <w:b/>
          <w:lang w:eastAsia="en-US"/>
        </w:rPr>
        <w:t>Nakladanie s domovým odpadom (vrátane opatrení na mechanické biologické spracovanie, tepelné spracovanie, spaľovanie a skládkovanie)</w:t>
      </w:r>
      <w:r w:rsidR="008F75D1" w:rsidRPr="002D0834">
        <w:rPr>
          <w:rFonts w:eastAsiaTheme="minorHAnsi"/>
          <w:b/>
          <w:lang w:eastAsia="en-US"/>
        </w:rPr>
        <w:t xml:space="preserve"> </w:t>
      </w:r>
      <w:r w:rsidR="002177EA" w:rsidRPr="002D0834">
        <w:rPr>
          <w:rFonts w:eastAsiaTheme="minorHAnsi"/>
          <w:b/>
          <w:lang w:eastAsia="en-US"/>
        </w:rPr>
        <w:t>(ďalej aj 018)</w:t>
      </w:r>
      <w:r w:rsidRPr="002D0834">
        <w:rPr>
          <w:rFonts w:eastAsiaTheme="minorHAnsi"/>
          <w:b/>
          <w:lang w:eastAsia="en-US"/>
        </w:rPr>
        <w:t xml:space="preserve"> a</w:t>
      </w:r>
      <w:r w:rsidR="004C7FF7" w:rsidRPr="002D0834">
        <w:rPr>
          <w:rFonts w:eastAsiaTheme="minorHAnsi"/>
          <w:b/>
          <w:lang w:eastAsia="en-US"/>
        </w:rPr>
        <w:t> </w:t>
      </w:r>
    </w:p>
    <w:p w:rsidR="008F75D1" w:rsidRPr="002D0834" w:rsidRDefault="00546405" w:rsidP="002D0834">
      <w:pPr>
        <w:pStyle w:val="Odsekzoznamu"/>
        <w:numPr>
          <w:ilvl w:val="0"/>
          <w:numId w:val="6"/>
        </w:numPr>
        <w:ind w:left="714" w:hanging="357"/>
        <w:contextualSpacing w:val="0"/>
        <w:jc w:val="both"/>
        <w:rPr>
          <w:b/>
        </w:rPr>
      </w:pPr>
      <w:r w:rsidRPr="002D0834">
        <w:rPr>
          <w:rFonts w:eastAsiaTheme="minorHAnsi"/>
          <w:b/>
          <w:lang w:eastAsia="en-US"/>
        </w:rPr>
        <w:t>019</w:t>
      </w:r>
      <w:r w:rsidR="004C7FF7" w:rsidRPr="002D0834">
        <w:rPr>
          <w:rFonts w:eastAsiaTheme="minorHAnsi"/>
          <w:b/>
          <w:lang w:eastAsia="en-US"/>
        </w:rPr>
        <w:t> </w:t>
      </w:r>
      <w:r w:rsidR="006009B6" w:rsidRPr="002D0834">
        <w:rPr>
          <w:rFonts w:eastAsiaTheme="minorHAnsi"/>
          <w:b/>
          <w:lang w:eastAsia="en-US"/>
        </w:rPr>
        <w:t>Nakladanie s komerčným, priemyselným, alebo nebezpečným odpadom</w:t>
      </w:r>
      <w:r w:rsidR="002177EA" w:rsidRPr="002D0834">
        <w:rPr>
          <w:rFonts w:eastAsiaTheme="minorHAnsi"/>
          <w:b/>
          <w:lang w:eastAsia="en-US"/>
        </w:rPr>
        <w:t xml:space="preserve"> (ďalej aj 019)</w:t>
      </w:r>
      <w:r w:rsidR="008F75D1" w:rsidRPr="002D0834">
        <w:rPr>
          <w:rFonts w:eastAsiaTheme="minorHAnsi"/>
          <w:b/>
          <w:lang w:eastAsia="en-US"/>
        </w:rPr>
        <w:t>.</w:t>
      </w:r>
    </w:p>
    <w:p w:rsidR="002D0834" w:rsidRDefault="0026126C" w:rsidP="007E0A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Celková suma zdrojov alokovaných spolu na všetky uvedené oblasti intervencie (017, 018, 019), a teda </w:t>
      </w:r>
      <w:r w:rsidR="00A746D7">
        <w:rPr>
          <w:rFonts w:ascii="Times New Roman" w:hAnsi="Times New Roman" w:cs="Times New Roman"/>
          <w:sz w:val="24"/>
          <w:szCs w:val="24"/>
        </w:rPr>
        <w:t xml:space="preserve">celkovo na oblasť odpadového hospodárstva (t.j. investičnú prioritu 1) sa pritom nemení.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6126C" w:rsidRDefault="0026126C" w:rsidP="007E0A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66CB" w:rsidRDefault="008F75D1" w:rsidP="007E0A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988">
        <w:rPr>
          <w:rFonts w:ascii="Times New Roman" w:hAnsi="Times New Roman" w:cs="Times New Roman"/>
          <w:sz w:val="24"/>
          <w:szCs w:val="24"/>
        </w:rPr>
        <w:t>V</w:t>
      </w:r>
      <w:r w:rsidR="00FF7730" w:rsidRPr="000E1988">
        <w:rPr>
          <w:rFonts w:ascii="Times New Roman" w:hAnsi="Times New Roman" w:cs="Times New Roman"/>
          <w:sz w:val="24"/>
          <w:szCs w:val="24"/>
        </w:rPr>
        <w:t xml:space="preserve"> súlade s článkom 96 odsek 10 </w:t>
      </w:r>
      <w:r w:rsidR="00E766E6" w:rsidRPr="000E1988">
        <w:rPr>
          <w:rFonts w:ascii="Times New Roman" w:hAnsi="Times New Roman" w:cs="Times New Roman"/>
          <w:sz w:val="24"/>
          <w:szCs w:val="24"/>
        </w:rPr>
        <w:t>Nariadenia Európskeho parlamentu a Rady (EÚ) č. 1303/2013 (ďalej len „</w:t>
      </w:r>
      <w:r w:rsidR="00FF7730" w:rsidRPr="000E1988">
        <w:rPr>
          <w:rFonts w:ascii="Times New Roman" w:hAnsi="Times New Roman" w:cs="Times New Roman"/>
          <w:sz w:val="24"/>
          <w:szCs w:val="24"/>
        </w:rPr>
        <w:t>všeobecné nariadeni</w:t>
      </w:r>
      <w:r w:rsidR="002D0834">
        <w:rPr>
          <w:rFonts w:ascii="Times New Roman" w:hAnsi="Times New Roman" w:cs="Times New Roman"/>
          <w:sz w:val="24"/>
          <w:szCs w:val="24"/>
        </w:rPr>
        <w:t>e</w:t>
      </w:r>
      <w:r w:rsidR="00E766E6" w:rsidRPr="000E1988">
        <w:rPr>
          <w:rFonts w:ascii="Times New Roman" w:hAnsi="Times New Roman" w:cs="Times New Roman"/>
          <w:sz w:val="24"/>
          <w:szCs w:val="24"/>
        </w:rPr>
        <w:t>“)</w:t>
      </w:r>
      <w:r w:rsidR="00FF7730" w:rsidRPr="000E1988">
        <w:rPr>
          <w:rFonts w:ascii="Times New Roman" w:hAnsi="Times New Roman" w:cs="Times New Roman"/>
          <w:sz w:val="24"/>
          <w:szCs w:val="24"/>
        </w:rPr>
        <w:t xml:space="preserve"> </w:t>
      </w:r>
      <w:r w:rsidR="00BA150D" w:rsidRPr="000E1988">
        <w:rPr>
          <w:rFonts w:ascii="Times New Roman" w:hAnsi="Times New Roman" w:cs="Times New Roman"/>
          <w:sz w:val="24"/>
          <w:szCs w:val="24"/>
        </w:rPr>
        <w:t xml:space="preserve">patrí medzi </w:t>
      </w:r>
      <w:r w:rsidR="00BA150D" w:rsidRPr="00037034">
        <w:rPr>
          <w:rFonts w:ascii="Times New Roman" w:hAnsi="Times New Roman" w:cs="Times New Roman"/>
          <w:b/>
          <w:sz w:val="24"/>
          <w:szCs w:val="24"/>
        </w:rPr>
        <w:t>prvky operačného programu</w:t>
      </w:r>
      <w:r w:rsidR="002D0834" w:rsidRPr="00037034">
        <w:rPr>
          <w:rFonts w:ascii="Times New Roman" w:hAnsi="Times New Roman" w:cs="Times New Roman"/>
          <w:b/>
          <w:sz w:val="24"/>
          <w:szCs w:val="24"/>
        </w:rPr>
        <w:t>,</w:t>
      </w:r>
      <w:r w:rsidR="00BA150D" w:rsidRPr="00037034">
        <w:rPr>
          <w:rFonts w:ascii="Times New Roman" w:hAnsi="Times New Roman" w:cs="Times New Roman"/>
          <w:b/>
          <w:sz w:val="24"/>
          <w:szCs w:val="24"/>
        </w:rPr>
        <w:t xml:space="preserve"> za ktoré zodpovedá členský štát</w:t>
      </w:r>
      <w:r w:rsidR="002D0834">
        <w:rPr>
          <w:rFonts w:ascii="Times New Roman" w:hAnsi="Times New Roman" w:cs="Times New Roman"/>
          <w:sz w:val="24"/>
          <w:szCs w:val="24"/>
        </w:rPr>
        <w:t>,</w:t>
      </w:r>
      <w:r w:rsidR="00BA150D" w:rsidRPr="000E1988">
        <w:rPr>
          <w:rFonts w:ascii="Times New Roman" w:hAnsi="Times New Roman" w:cs="Times New Roman"/>
          <w:sz w:val="24"/>
          <w:szCs w:val="24"/>
        </w:rPr>
        <w:t xml:space="preserve"> aj</w:t>
      </w:r>
      <w:r w:rsidR="00DA1E03">
        <w:rPr>
          <w:rFonts w:ascii="Times New Roman" w:hAnsi="Times New Roman" w:cs="Times New Roman"/>
          <w:sz w:val="24"/>
          <w:szCs w:val="24"/>
        </w:rPr>
        <w:t xml:space="preserve"> prvok uvedený v čl. 96 odseku 2</w:t>
      </w:r>
      <w:r w:rsidR="008266CB">
        <w:rPr>
          <w:rFonts w:ascii="Times New Roman" w:hAnsi="Times New Roman" w:cs="Times New Roman"/>
          <w:sz w:val="24"/>
          <w:szCs w:val="24"/>
        </w:rPr>
        <w:t xml:space="preserve"> prvom pododseku písmene c) bode v),</w:t>
      </w:r>
      <w:r w:rsidR="00DA1E03">
        <w:rPr>
          <w:rFonts w:ascii="Times New Roman" w:hAnsi="Times New Roman" w:cs="Times New Roman"/>
          <w:sz w:val="24"/>
          <w:szCs w:val="24"/>
        </w:rPr>
        <w:t xml:space="preserve"> </w:t>
      </w:r>
      <w:r w:rsidR="00BA150D" w:rsidRPr="000E1988">
        <w:rPr>
          <w:rFonts w:ascii="Times New Roman" w:hAnsi="Times New Roman" w:cs="Times New Roman"/>
          <w:sz w:val="24"/>
          <w:szCs w:val="24"/>
        </w:rPr>
        <w:t xml:space="preserve"> </w:t>
      </w:r>
      <w:r w:rsidR="008266CB">
        <w:rPr>
          <w:rFonts w:ascii="Times New Roman" w:hAnsi="Times New Roman" w:cs="Times New Roman"/>
          <w:sz w:val="24"/>
          <w:szCs w:val="24"/>
        </w:rPr>
        <w:t xml:space="preserve">ktorým sú </w:t>
      </w:r>
      <w:r w:rsidR="008266CB" w:rsidRPr="00037034">
        <w:rPr>
          <w:rFonts w:ascii="Times New Roman" w:hAnsi="Times New Roman" w:cs="Times New Roman"/>
          <w:b/>
          <w:i/>
          <w:sz w:val="24"/>
          <w:szCs w:val="24"/>
        </w:rPr>
        <w:t>„zodpovedajúce kategórie intervencie na základe nomenklatúry prijatej Komisiou a orientačné rozdelenie plánovaných prostriedkov“</w:t>
      </w:r>
      <w:r w:rsidR="008266C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766E6" w:rsidRPr="000E1988" w:rsidRDefault="008266CB" w:rsidP="0003703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súlade </w:t>
      </w:r>
      <w:r w:rsidRPr="000E1988">
        <w:rPr>
          <w:rFonts w:ascii="Times New Roman" w:hAnsi="Times New Roman" w:cs="Times New Roman"/>
          <w:sz w:val="24"/>
          <w:szCs w:val="24"/>
        </w:rPr>
        <w:t>s článkom 96 odsek</w:t>
      </w:r>
      <w:r>
        <w:rPr>
          <w:rFonts w:ascii="Times New Roman" w:hAnsi="Times New Roman" w:cs="Times New Roman"/>
          <w:sz w:val="24"/>
          <w:szCs w:val="24"/>
        </w:rPr>
        <w:t>om</w:t>
      </w:r>
      <w:r w:rsidRPr="000E1988">
        <w:rPr>
          <w:rFonts w:ascii="Times New Roman" w:hAnsi="Times New Roman" w:cs="Times New Roman"/>
          <w:sz w:val="24"/>
          <w:szCs w:val="24"/>
        </w:rPr>
        <w:t xml:space="preserve"> 1</w:t>
      </w:r>
      <w:r w:rsidR="00B2339D">
        <w:rPr>
          <w:rFonts w:ascii="Times New Roman" w:hAnsi="Times New Roman" w:cs="Times New Roman"/>
          <w:sz w:val="24"/>
          <w:szCs w:val="24"/>
        </w:rPr>
        <w:t xml:space="preserve">1 </w:t>
      </w:r>
      <w:r w:rsidRPr="000E1988">
        <w:rPr>
          <w:rFonts w:ascii="Times New Roman" w:hAnsi="Times New Roman" w:cs="Times New Roman"/>
          <w:sz w:val="24"/>
          <w:szCs w:val="24"/>
        </w:rPr>
        <w:t>všeobecné</w:t>
      </w:r>
      <w:r w:rsidR="00B2339D">
        <w:rPr>
          <w:rFonts w:ascii="Times New Roman" w:hAnsi="Times New Roman" w:cs="Times New Roman"/>
          <w:sz w:val="24"/>
          <w:szCs w:val="24"/>
        </w:rPr>
        <w:t>ho</w:t>
      </w:r>
      <w:r w:rsidRPr="000E1988">
        <w:rPr>
          <w:rFonts w:ascii="Times New Roman" w:hAnsi="Times New Roman" w:cs="Times New Roman"/>
          <w:sz w:val="24"/>
          <w:szCs w:val="24"/>
        </w:rPr>
        <w:t xml:space="preserve"> nariadeni</w:t>
      </w:r>
      <w:r w:rsidR="00B2339D">
        <w:rPr>
          <w:rFonts w:ascii="Times New Roman" w:hAnsi="Times New Roman" w:cs="Times New Roman"/>
          <w:sz w:val="24"/>
          <w:szCs w:val="24"/>
        </w:rPr>
        <w:t>a to</w:t>
      </w:r>
      <w:r w:rsidR="00BA150D" w:rsidRPr="000E1988">
        <w:rPr>
          <w:rFonts w:ascii="Times New Roman" w:hAnsi="Times New Roman" w:cs="Times New Roman"/>
          <w:sz w:val="24"/>
          <w:szCs w:val="24"/>
        </w:rPr>
        <w:t xml:space="preserve"> znamená, že na tento prvok sa nevzťahuje rozhodnutie Európskej komisie (K</w:t>
      </w:r>
      <w:r w:rsidR="00B2339D">
        <w:rPr>
          <w:rFonts w:ascii="Times New Roman" w:hAnsi="Times New Roman" w:cs="Times New Roman"/>
          <w:sz w:val="24"/>
          <w:szCs w:val="24"/>
        </w:rPr>
        <w:t>omisia</w:t>
      </w:r>
      <w:r w:rsidR="00BA150D" w:rsidRPr="000E1988">
        <w:rPr>
          <w:rFonts w:ascii="Times New Roman" w:hAnsi="Times New Roman" w:cs="Times New Roman"/>
          <w:sz w:val="24"/>
          <w:szCs w:val="24"/>
        </w:rPr>
        <w:t>), preto jeho zmenu je možné vykonať rozhodnutím riadiaceho orgánu</w:t>
      </w:r>
      <w:r w:rsidR="00B01293" w:rsidRPr="000E1988">
        <w:rPr>
          <w:rFonts w:ascii="Times New Roman" w:hAnsi="Times New Roman" w:cs="Times New Roman"/>
          <w:sz w:val="24"/>
          <w:szCs w:val="24"/>
        </w:rPr>
        <w:t>. V súlade s princípom partnerstva a</w:t>
      </w:r>
      <w:r w:rsidR="00FD6C4C" w:rsidRPr="000E1988">
        <w:rPr>
          <w:rFonts w:ascii="Times New Roman" w:hAnsi="Times New Roman" w:cs="Times New Roman"/>
          <w:sz w:val="24"/>
          <w:szCs w:val="24"/>
        </w:rPr>
        <w:t> </w:t>
      </w:r>
      <w:r w:rsidR="00B01293" w:rsidRPr="000E1988">
        <w:rPr>
          <w:rFonts w:ascii="Times New Roman" w:hAnsi="Times New Roman" w:cs="Times New Roman"/>
          <w:sz w:val="24"/>
          <w:szCs w:val="24"/>
        </w:rPr>
        <w:t>transparentnosti</w:t>
      </w:r>
      <w:r w:rsidR="00FD6C4C" w:rsidRPr="000E1988">
        <w:rPr>
          <w:rFonts w:ascii="Times New Roman" w:hAnsi="Times New Roman" w:cs="Times New Roman"/>
          <w:sz w:val="24"/>
          <w:szCs w:val="24"/>
        </w:rPr>
        <w:t xml:space="preserve"> a podľa článku 2 odsek 3 bod f) Štatútu </w:t>
      </w:r>
      <w:r w:rsidR="00B2339D">
        <w:rPr>
          <w:rFonts w:ascii="Times New Roman" w:hAnsi="Times New Roman" w:cs="Times New Roman"/>
          <w:sz w:val="24"/>
          <w:szCs w:val="24"/>
        </w:rPr>
        <w:t>monitorovacieho výboru</w:t>
      </w:r>
      <w:r w:rsidR="00FD6C4C" w:rsidRPr="000E1988">
        <w:rPr>
          <w:rFonts w:ascii="Times New Roman" w:hAnsi="Times New Roman" w:cs="Times New Roman"/>
          <w:sz w:val="24"/>
          <w:szCs w:val="24"/>
        </w:rPr>
        <w:t xml:space="preserve"> </w:t>
      </w:r>
      <w:r w:rsidR="00B01293" w:rsidRPr="000E1988">
        <w:rPr>
          <w:rFonts w:ascii="Times New Roman" w:hAnsi="Times New Roman" w:cs="Times New Roman"/>
          <w:sz w:val="24"/>
          <w:szCs w:val="24"/>
        </w:rPr>
        <w:t xml:space="preserve">RO predkladá </w:t>
      </w:r>
      <w:r w:rsidR="00FD6C4C" w:rsidRPr="000E1988">
        <w:rPr>
          <w:rFonts w:ascii="Times New Roman" w:hAnsi="Times New Roman" w:cs="Times New Roman"/>
          <w:sz w:val="24"/>
          <w:szCs w:val="24"/>
        </w:rPr>
        <w:t xml:space="preserve">navrhovanú zmenu prvkov operačného programu na schválenie </w:t>
      </w:r>
      <w:r w:rsidR="00B2339D">
        <w:rPr>
          <w:rFonts w:ascii="Times New Roman" w:hAnsi="Times New Roman" w:cs="Times New Roman"/>
          <w:sz w:val="24"/>
          <w:szCs w:val="24"/>
        </w:rPr>
        <w:t>monitorovaciemu výboru</w:t>
      </w:r>
      <w:r w:rsidR="00FD6C4C" w:rsidRPr="000E1988">
        <w:rPr>
          <w:rFonts w:ascii="Times New Roman" w:hAnsi="Times New Roman" w:cs="Times New Roman"/>
          <w:sz w:val="24"/>
          <w:szCs w:val="24"/>
        </w:rPr>
        <w:t>.</w:t>
      </w:r>
    </w:p>
    <w:p w:rsidR="00BA150D" w:rsidRDefault="00FD6C4C" w:rsidP="00037034">
      <w:pPr>
        <w:pStyle w:val="CM1"/>
        <w:jc w:val="both"/>
        <w:rPr>
          <w:rFonts w:ascii="Times New Roman" w:hAnsi="Times New Roman" w:cs="Times New Roman"/>
        </w:rPr>
      </w:pPr>
      <w:r w:rsidRPr="000E1988">
        <w:rPr>
          <w:rFonts w:ascii="Times New Roman" w:hAnsi="Times New Roman" w:cs="Times New Roman"/>
        </w:rPr>
        <w:t>Po schválení návrhu zmeny OP KŽP a vydaní rozhodnutia zo strany RO bude</w:t>
      </w:r>
      <w:r w:rsidR="00B01293" w:rsidRPr="000E1988">
        <w:rPr>
          <w:rFonts w:ascii="Times New Roman" w:hAnsi="Times New Roman" w:cs="Times New Roman"/>
        </w:rPr>
        <w:t xml:space="preserve"> RO</w:t>
      </w:r>
      <w:r w:rsidR="00B01293" w:rsidRPr="00256F76">
        <w:rPr>
          <w:rFonts w:ascii="Times New Roman" w:hAnsi="Times New Roman" w:cs="Times New Roman"/>
        </w:rPr>
        <w:t xml:space="preserve"> </w:t>
      </w:r>
      <w:r w:rsidRPr="000E1988">
        <w:rPr>
          <w:rFonts w:ascii="Times New Roman" w:hAnsi="Times New Roman" w:cs="Times New Roman"/>
        </w:rPr>
        <w:t xml:space="preserve">oficiálne </w:t>
      </w:r>
      <w:r w:rsidR="00B01293" w:rsidRPr="00256F76">
        <w:rPr>
          <w:rFonts w:ascii="Times New Roman" w:hAnsi="Times New Roman" w:cs="Times New Roman"/>
        </w:rPr>
        <w:t>inform</w:t>
      </w:r>
      <w:r w:rsidRPr="000E1988">
        <w:rPr>
          <w:rFonts w:ascii="Times New Roman" w:hAnsi="Times New Roman" w:cs="Times New Roman"/>
        </w:rPr>
        <w:t>ovať</w:t>
      </w:r>
      <w:r w:rsidR="00B01293" w:rsidRPr="00256F76">
        <w:rPr>
          <w:rFonts w:ascii="Times New Roman" w:hAnsi="Times New Roman" w:cs="Times New Roman"/>
        </w:rPr>
        <w:t xml:space="preserve"> </w:t>
      </w:r>
      <w:r w:rsidR="00B01293" w:rsidRPr="000E1988">
        <w:rPr>
          <w:rFonts w:ascii="Times New Roman" w:hAnsi="Times New Roman" w:cs="Times New Roman"/>
        </w:rPr>
        <w:t>K</w:t>
      </w:r>
      <w:r w:rsidR="00B2339D">
        <w:rPr>
          <w:rFonts w:ascii="Times New Roman" w:hAnsi="Times New Roman" w:cs="Times New Roman"/>
        </w:rPr>
        <w:t>omisiu</w:t>
      </w:r>
      <w:r w:rsidR="00B01293" w:rsidRPr="00256F76">
        <w:rPr>
          <w:rFonts w:ascii="Times New Roman" w:hAnsi="Times New Roman" w:cs="Times New Roman"/>
        </w:rPr>
        <w:t xml:space="preserve"> o rozhodnutí o zmene </w:t>
      </w:r>
      <w:r w:rsidR="00AD4501">
        <w:rPr>
          <w:rFonts w:ascii="Times New Roman" w:hAnsi="Times New Roman" w:cs="Times New Roman"/>
        </w:rPr>
        <w:t xml:space="preserve">uvedených </w:t>
      </w:r>
      <w:r w:rsidR="00B01293" w:rsidRPr="00256F76">
        <w:rPr>
          <w:rFonts w:ascii="Times New Roman" w:hAnsi="Times New Roman" w:cs="Times New Roman"/>
        </w:rPr>
        <w:t xml:space="preserve">prvkov operačného programu, na </w:t>
      </w:r>
      <w:r w:rsidRPr="000E1988">
        <w:rPr>
          <w:rFonts w:ascii="Times New Roman" w:hAnsi="Times New Roman" w:cs="Times New Roman"/>
        </w:rPr>
        <w:t>k</w:t>
      </w:r>
      <w:r w:rsidR="00B01293" w:rsidRPr="00256F76">
        <w:rPr>
          <w:rFonts w:ascii="Times New Roman" w:hAnsi="Times New Roman" w:cs="Times New Roman"/>
        </w:rPr>
        <w:t xml:space="preserve">toré sa nevzťahuje rozhodnutie </w:t>
      </w:r>
      <w:r w:rsidRPr="000E1988">
        <w:rPr>
          <w:rFonts w:ascii="Times New Roman" w:hAnsi="Times New Roman" w:cs="Times New Roman"/>
        </w:rPr>
        <w:t>K</w:t>
      </w:r>
      <w:r w:rsidR="00AD4501">
        <w:rPr>
          <w:rFonts w:ascii="Times New Roman" w:hAnsi="Times New Roman" w:cs="Times New Roman"/>
        </w:rPr>
        <w:t>omisie</w:t>
      </w:r>
      <w:r w:rsidR="00B01293" w:rsidRPr="000E1988">
        <w:rPr>
          <w:rFonts w:ascii="Times New Roman" w:hAnsi="Times New Roman" w:cs="Times New Roman"/>
        </w:rPr>
        <w:t>, a to</w:t>
      </w:r>
      <w:r w:rsidR="00B01293" w:rsidRPr="00256F76">
        <w:rPr>
          <w:rFonts w:ascii="Times New Roman" w:hAnsi="Times New Roman" w:cs="Times New Roman"/>
        </w:rPr>
        <w:t xml:space="preserve"> do jedného mesiaca od dátumu prijatia tohto rozhodnutia o zmene.</w:t>
      </w:r>
    </w:p>
    <w:p w:rsidR="00295869" w:rsidRDefault="00295869" w:rsidP="00037034">
      <w:pPr>
        <w:spacing w:after="0" w:line="240" w:lineRule="auto"/>
      </w:pPr>
    </w:p>
    <w:p w:rsidR="00306171" w:rsidRPr="00E1273C" w:rsidRDefault="00306171" w:rsidP="00E1273C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73C">
        <w:rPr>
          <w:rFonts w:ascii="Times New Roman" w:hAnsi="Times New Roman" w:cs="Times New Roman"/>
          <w:b/>
          <w:sz w:val="24"/>
          <w:szCs w:val="24"/>
          <w:u w:val="single"/>
        </w:rPr>
        <w:t>Východiská a zdôvodnenie návrhu:</w:t>
      </w:r>
    </w:p>
    <w:p w:rsidR="00530B45" w:rsidRDefault="00530B45" w:rsidP="0003703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988">
        <w:rPr>
          <w:rFonts w:ascii="Times New Roman" w:hAnsi="Times New Roman" w:cs="Times New Roman"/>
          <w:sz w:val="24"/>
          <w:szCs w:val="24"/>
        </w:rPr>
        <w:t xml:space="preserve">Návrh </w:t>
      </w:r>
      <w:r w:rsidR="009D51D1">
        <w:rPr>
          <w:rFonts w:ascii="Times New Roman" w:hAnsi="Times New Roman" w:cs="Times New Roman"/>
          <w:sz w:val="24"/>
          <w:szCs w:val="24"/>
        </w:rPr>
        <w:t>presunu finančných prostriedkov medzi oblasťami intervencií</w:t>
      </w:r>
      <w:r w:rsidRPr="000E1988">
        <w:rPr>
          <w:rFonts w:ascii="Times New Roman" w:hAnsi="Times New Roman" w:cs="Times New Roman"/>
          <w:sz w:val="24"/>
          <w:szCs w:val="24"/>
        </w:rPr>
        <w:t xml:space="preserve"> vychádza z analýzy schválených</w:t>
      </w:r>
      <w:r w:rsidR="00FD6C4C" w:rsidRPr="000E1988">
        <w:rPr>
          <w:rFonts w:ascii="Times New Roman" w:hAnsi="Times New Roman" w:cs="Times New Roman"/>
          <w:sz w:val="24"/>
          <w:szCs w:val="24"/>
        </w:rPr>
        <w:t xml:space="preserve">, resp. </w:t>
      </w:r>
      <w:r w:rsidRPr="000E1988">
        <w:rPr>
          <w:rFonts w:ascii="Times New Roman" w:hAnsi="Times New Roman" w:cs="Times New Roman"/>
          <w:sz w:val="24"/>
          <w:szCs w:val="24"/>
        </w:rPr>
        <w:t>zazmluvnených žiadostí o nenávratný finančný príspevok</w:t>
      </w:r>
      <w:r w:rsidR="00AD4501">
        <w:rPr>
          <w:rFonts w:ascii="Times New Roman" w:hAnsi="Times New Roman" w:cs="Times New Roman"/>
          <w:sz w:val="24"/>
          <w:szCs w:val="24"/>
        </w:rPr>
        <w:t xml:space="preserve"> v oblasti odpadového hospodárstva</w:t>
      </w:r>
      <w:r w:rsidRPr="000E1988">
        <w:rPr>
          <w:rFonts w:ascii="Times New Roman" w:hAnsi="Times New Roman" w:cs="Times New Roman"/>
          <w:sz w:val="24"/>
          <w:szCs w:val="24"/>
        </w:rPr>
        <w:t xml:space="preserve">, z analýzy zverejnených výziev a predložených žiadostí o nenávratný finančný príspevok, z indikatívneho harmonogramu výziev </w:t>
      </w:r>
      <w:r w:rsidR="00AD4501">
        <w:rPr>
          <w:rFonts w:ascii="Times New Roman" w:hAnsi="Times New Roman" w:cs="Times New Roman"/>
          <w:sz w:val="24"/>
          <w:szCs w:val="24"/>
        </w:rPr>
        <w:t>n</w:t>
      </w:r>
      <w:r w:rsidRPr="000E1988">
        <w:rPr>
          <w:rFonts w:ascii="Times New Roman" w:hAnsi="Times New Roman" w:cs="Times New Roman"/>
          <w:sz w:val="24"/>
          <w:szCs w:val="24"/>
        </w:rPr>
        <w:t xml:space="preserve">a rok 2017 </w:t>
      </w:r>
      <w:r w:rsidR="0043750B">
        <w:rPr>
          <w:rFonts w:ascii="Times New Roman" w:hAnsi="Times New Roman" w:cs="Times New Roman"/>
          <w:sz w:val="24"/>
          <w:szCs w:val="24"/>
        </w:rPr>
        <w:t xml:space="preserve">- </w:t>
      </w:r>
      <w:r w:rsidRPr="000E1988">
        <w:rPr>
          <w:rFonts w:ascii="Times New Roman" w:hAnsi="Times New Roman" w:cs="Times New Roman"/>
          <w:sz w:val="24"/>
          <w:szCs w:val="24"/>
        </w:rPr>
        <w:t>v.3</w:t>
      </w:r>
      <w:r w:rsidR="00AD4501">
        <w:rPr>
          <w:rFonts w:ascii="Times New Roman" w:hAnsi="Times New Roman" w:cs="Times New Roman"/>
          <w:sz w:val="24"/>
          <w:szCs w:val="24"/>
        </w:rPr>
        <w:t>,</w:t>
      </w:r>
      <w:r w:rsidRPr="000E1988">
        <w:rPr>
          <w:rFonts w:ascii="Times New Roman" w:hAnsi="Times New Roman" w:cs="Times New Roman"/>
          <w:sz w:val="24"/>
          <w:szCs w:val="24"/>
        </w:rPr>
        <w:t xml:space="preserve"> a</w:t>
      </w:r>
      <w:r w:rsidR="00AD4501">
        <w:rPr>
          <w:rFonts w:ascii="Times New Roman" w:hAnsi="Times New Roman" w:cs="Times New Roman"/>
          <w:sz w:val="24"/>
          <w:szCs w:val="24"/>
        </w:rPr>
        <w:t>ko aj</w:t>
      </w:r>
      <w:r w:rsidRPr="000E1988">
        <w:rPr>
          <w:rFonts w:ascii="Times New Roman" w:hAnsi="Times New Roman" w:cs="Times New Roman"/>
          <w:sz w:val="24"/>
          <w:szCs w:val="24"/>
        </w:rPr>
        <w:t> z</w:t>
      </w:r>
      <w:r w:rsidR="00BC23AC">
        <w:rPr>
          <w:rFonts w:ascii="Times New Roman" w:hAnsi="Times New Roman" w:cs="Times New Roman"/>
          <w:sz w:val="24"/>
          <w:szCs w:val="24"/>
        </w:rPr>
        <w:t xml:space="preserve"> výsledkov </w:t>
      </w:r>
      <w:r w:rsidR="00AD4501">
        <w:rPr>
          <w:rFonts w:ascii="Times New Roman" w:hAnsi="Times New Roman" w:cs="Times New Roman"/>
          <w:sz w:val="24"/>
          <w:szCs w:val="24"/>
        </w:rPr>
        <w:t>externého</w:t>
      </w:r>
      <w:r w:rsidR="0043750B">
        <w:rPr>
          <w:rFonts w:ascii="Times New Roman" w:hAnsi="Times New Roman" w:cs="Times New Roman"/>
          <w:sz w:val="24"/>
          <w:szCs w:val="24"/>
        </w:rPr>
        <w:t xml:space="preserve"> </w:t>
      </w:r>
      <w:r w:rsidRPr="000E1988">
        <w:rPr>
          <w:rFonts w:ascii="Times New Roman" w:hAnsi="Times New Roman" w:cs="Times New Roman"/>
          <w:sz w:val="24"/>
          <w:szCs w:val="24"/>
        </w:rPr>
        <w:t xml:space="preserve">Hodnotenia aktuálneho stavu implementácie OP KŽP </w:t>
      </w:r>
      <w:r w:rsidR="00295869">
        <w:rPr>
          <w:rFonts w:ascii="Times New Roman" w:hAnsi="Times New Roman" w:cs="Times New Roman"/>
          <w:sz w:val="24"/>
          <w:szCs w:val="24"/>
        </w:rPr>
        <w:t>(</w:t>
      </w:r>
      <w:r w:rsidRPr="000E1988">
        <w:rPr>
          <w:rFonts w:ascii="Times New Roman" w:hAnsi="Times New Roman" w:cs="Times New Roman"/>
          <w:sz w:val="24"/>
          <w:szCs w:val="24"/>
        </w:rPr>
        <w:t>k</w:t>
      </w:r>
      <w:r w:rsidR="00295869">
        <w:rPr>
          <w:rFonts w:ascii="Times New Roman" w:hAnsi="Times New Roman" w:cs="Times New Roman"/>
          <w:sz w:val="24"/>
          <w:szCs w:val="24"/>
        </w:rPr>
        <w:t xml:space="preserve"> referenčnému termínu</w:t>
      </w:r>
      <w:r w:rsidRPr="000E1988">
        <w:rPr>
          <w:rFonts w:ascii="Times New Roman" w:hAnsi="Times New Roman" w:cs="Times New Roman"/>
          <w:sz w:val="24"/>
          <w:szCs w:val="24"/>
        </w:rPr>
        <w:t> </w:t>
      </w:r>
      <w:r w:rsidR="00295869">
        <w:rPr>
          <w:rFonts w:ascii="Times New Roman" w:hAnsi="Times New Roman" w:cs="Times New Roman"/>
          <w:sz w:val="24"/>
          <w:szCs w:val="24"/>
        </w:rPr>
        <w:t>28</w:t>
      </w:r>
      <w:r w:rsidRPr="000E1988">
        <w:rPr>
          <w:rFonts w:ascii="Times New Roman" w:hAnsi="Times New Roman" w:cs="Times New Roman"/>
          <w:sz w:val="24"/>
          <w:szCs w:val="24"/>
        </w:rPr>
        <w:t>.0</w:t>
      </w:r>
      <w:r w:rsidR="00295869">
        <w:rPr>
          <w:rFonts w:ascii="Times New Roman" w:hAnsi="Times New Roman" w:cs="Times New Roman"/>
          <w:sz w:val="24"/>
          <w:szCs w:val="24"/>
        </w:rPr>
        <w:t>2</w:t>
      </w:r>
      <w:r w:rsidRPr="000E1988">
        <w:rPr>
          <w:rFonts w:ascii="Times New Roman" w:hAnsi="Times New Roman" w:cs="Times New Roman"/>
          <w:sz w:val="24"/>
          <w:szCs w:val="24"/>
        </w:rPr>
        <w:t>.2017</w:t>
      </w:r>
      <w:r w:rsidR="00805104">
        <w:rPr>
          <w:rFonts w:ascii="Times New Roman" w:hAnsi="Times New Roman" w:cs="Times New Roman"/>
          <w:sz w:val="24"/>
          <w:szCs w:val="24"/>
        </w:rPr>
        <w:t>)</w:t>
      </w:r>
      <w:r w:rsidRPr="000E1988">
        <w:rPr>
          <w:rFonts w:ascii="Times New Roman" w:hAnsi="Times New Roman" w:cs="Times New Roman"/>
          <w:sz w:val="24"/>
          <w:szCs w:val="24"/>
        </w:rPr>
        <w:t>.</w:t>
      </w:r>
    </w:p>
    <w:p w:rsidR="0026126C" w:rsidRPr="00E1273C" w:rsidRDefault="0026126C" w:rsidP="00E1273C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b/>
        </w:rPr>
      </w:pPr>
      <w:r w:rsidRPr="00E1273C">
        <w:rPr>
          <w:b/>
        </w:rPr>
        <w:lastRenderedPageBreak/>
        <w:t>Potreby na je</w:t>
      </w:r>
      <w:r w:rsidR="00FB0595">
        <w:rPr>
          <w:b/>
        </w:rPr>
        <w:t xml:space="preserve">dnotlivé oblasti intervencie v rámci </w:t>
      </w:r>
      <w:r w:rsidR="00182371">
        <w:rPr>
          <w:b/>
        </w:rPr>
        <w:t xml:space="preserve">vyhlásených </w:t>
      </w:r>
      <w:r w:rsidR="00FB0595">
        <w:rPr>
          <w:b/>
        </w:rPr>
        <w:t>výziev</w:t>
      </w:r>
    </w:p>
    <w:p w:rsidR="004C1127" w:rsidRDefault="007C2775" w:rsidP="00E127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988">
        <w:rPr>
          <w:rFonts w:ascii="Times New Roman" w:hAnsi="Times New Roman" w:cs="Times New Roman"/>
          <w:sz w:val="24"/>
          <w:szCs w:val="24"/>
        </w:rPr>
        <w:t>K</w:t>
      </w:r>
      <w:r w:rsidR="00530B45" w:rsidRPr="000E1988">
        <w:rPr>
          <w:rFonts w:ascii="Times New Roman" w:hAnsi="Times New Roman" w:cs="Times New Roman"/>
          <w:sz w:val="24"/>
          <w:szCs w:val="24"/>
        </w:rPr>
        <w:t> uvedenému dátumu</w:t>
      </w:r>
      <w:r w:rsidRPr="000E1988">
        <w:rPr>
          <w:rFonts w:ascii="Times New Roman" w:hAnsi="Times New Roman" w:cs="Times New Roman"/>
          <w:sz w:val="24"/>
          <w:szCs w:val="24"/>
        </w:rPr>
        <w:t xml:space="preserve"> boli v rámci špecifického cieľa </w:t>
      </w:r>
      <w:r w:rsidRPr="000E1988">
        <w:rPr>
          <w:rFonts w:ascii="Times New Roman" w:hAnsi="Times New Roman" w:cs="Times New Roman"/>
          <w:i/>
          <w:sz w:val="24"/>
          <w:szCs w:val="24"/>
        </w:rPr>
        <w:t xml:space="preserve">1.1.1 </w:t>
      </w:r>
      <w:r w:rsidR="002177EA" w:rsidRPr="000E1988">
        <w:rPr>
          <w:rFonts w:ascii="Times New Roman" w:hAnsi="Times New Roman" w:cs="Times New Roman"/>
          <w:i/>
          <w:sz w:val="24"/>
          <w:szCs w:val="24"/>
        </w:rPr>
        <w:t>Zvýšenie miery zhodnocovania odpadov so zameraním na ich prípravu na opätovné použitie a</w:t>
      </w:r>
      <w:r w:rsidR="00C76DF8" w:rsidRPr="000E1988">
        <w:rPr>
          <w:rFonts w:ascii="Times New Roman" w:hAnsi="Times New Roman" w:cs="Times New Roman"/>
          <w:i/>
          <w:sz w:val="24"/>
          <w:szCs w:val="24"/>
        </w:rPr>
        <w:t> </w:t>
      </w:r>
      <w:r w:rsidR="002177EA" w:rsidRPr="000E1988">
        <w:rPr>
          <w:rFonts w:ascii="Times New Roman" w:hAnsi="Times New Roman" w:cs="Times New Roman"/>
          <w:i/>
          <w:sz w:val="24"/>
          <w:szCs w:val="24"/>
        </w:rPr>
        <w:t>recykláciu a podpora predchádzania vzniku odpadov</w:t>
      </w:r>
      <w:r w:rsidR="002177EA" w:rsidRPr="000E1988">
        <w:rPr>
          <w:rFonts w:ascii="Times New Roman" w:hAnsi="Times New Roman" w:cs="Times New Roman"/>
          <w:sz w:val="24"/>
          <w:szCs w:val="24"/>
        </w:rPr>
        <w:t xml:space="preserve"> </w:t>
      </w:r>
      <w:r w:rsidR="00EF4606">
        <w:rPr>
          <w:rFonts w:ascii="Times New Roman" w:hAnsi="Times New Roman" w:cs="Times New Roman"/>
          <w:sz w:val="24"/>
          <w:szCs w:val="24"/>
        </w:rPr>
        <w:t xml:space="preserve">ukončené, t.j. </w:t>
      </w:r>
      <w:r w:rsidRPr="00E1273C">
        <w:rPr>
          <w:rFonts w:ascii="Times New Roman" w:hAnsi="Times New Roman" w:cs="Times New Roman"/>
          <w:b/>
          <w:sz w:val="24"/>
          <w:szCs w:val="24"/>
        </w:rPr>
        <w:t>uzatvorené dve výzvy</w:t>
      </w:r>
      <w:r w:rsidR="008F37DF" w:rsidRPr="00E1273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14D4A" w:rsidRPr="00E1273C">
        <w:rPr>
          <w:rFonts w:ascii="Times New Roman" w:hAnsi="Times New Roman" w:cs="Times New Roman"/>
          <w:b/>
          <w:sz w:val="24"/>
          <w:szCs w:val="24"/>
        </w:rPr>
        <w:t>pri ktorých sa skončil proces administratívneho overovania a väčšina žiadostí je už zazmluvnená</w:t>
      </w:r>
      <w:r w:rsidRPr="00E1273C">
        <w:rPr>
          <w:rFonts w:ascii="Times New Roman" w:hAnsi="Times New Roman" w:cs="Times New Roman"/>
          <w:b/>
          <w:sz w:val="24"/>
          <w:szCs w:val="24"/>
        </w:rPr>
        <w:t>.</w:t>
      </w:r>
      <w:r w:rsidRPr="000E19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480E" w:rsidRDefault="007C2775" w:rsidP="00E127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988">
        <w:rPr>
          <w:rFonts w:ascii="Times New Roman" w:hAnsi="Times New Roman" w:cs="Times New Roman"/>
          <w:sz w:val="24"/>
          <w:szCs w:val="24"/>
        </w:rPr>
        <w:t xml:space="preserve">V prvej výzve s kódom </w:t>
      </w:r>
      <w:r w:rsidR="008F37DF" w:rsidRPr="000E1988">
        <w:rPr>
          <w:rFonts w:ascii="Times New Roman" w:hAnsi="Times New Roman" w:cs="Times New Roman"/>
          <w:sz w:val="24"/>
          <w:szCs w:val="24"/>
        </w:rPr>
        <w:t>OPKZP-PO1-SC111-2016-10</w:t>
      </w:r>
      <w:r w:rsidR="000A4B15" w:rsidRPr="000E1988">
        <w:rPr>
          <w:rFonts w:ascii="Times New Roman" w:hAnsi="Times New Roman" w:cs="Times New Roman"/>
          <w:sz w:val="24"/>
          <w:szCs w:val="24"/>
        </w:rPr>
        <w:t xml:space="preserve"> (ďalej aj „10. výzva“)</w:t>
      </w:r>
      <w:r w:rsidRPr="000E1988">
        <w:rPr>
          <w:rFonts w:ascii="Times New Roman" w:hAnsi="Times New Roman" w:cs="Times New Roman"/>
          <w:sz w:val="24"/>
          <w:szCs w:val="24"/>
        </w:rPr>
        <w:t xml:space="preserve"> bolo schválených 117 žiadostí o poskytnutie nenávratného finančného príspevku v sume </w:t>
      </w:r>
      <w:r w:rsidR="008F37DF" w:rsidRPr="000E1988">
        <w:rPr>
          <w:rFonts w:ascii="Times New Roman" w:hAnsi="Times New Roman" w:cs="Times New Roman"/>
          <w:sz w:val="24"/>
          <w:szCs w:val="24"/>
        </w:rPr>
        <w:t xml:space="preserve"> 48 619 430</w:t>
      </w:r>
      <w:r w:rsidRPr="000E1988">
        <w:rPr>
          <w:rFonts w:ascii="Times New Roman" w:hAnsi="Times New Roman" w:cs="Times New Roman"/>
          <w:sz w:val="24"/>
          <w:szCs w:val="24"/>
        </w:rPr>
        <w:t xml:space="preserve"> EUR</w:t>
      </w:r>
      <w:r w:rsidR="002177EA" w:rsidRPr="000E1988">
        <w:rPr>
          <w:rFonts w:ascii="Times New Roman" w:hAnsi="Times New Roman" w:cs="Times New Roman"/>
          <w:sz w:val="24"/>
          <w:szCs w:val="24"/>
        </w:rPr>
        <w:t xml:space="preserve"> </w:t>
      </w:r>
      <w:r w:rsidR="00805104">
        <w:rPr>
          <w:rFonts w:ascii="Times New Roman" w:hAnsi="Times New Roman" w:cs="Times New Roman"/>
          <w:sz w:val="24"/>
          <w:szCs w:val="24"/>
        </w:rPr>
        <w:t>(</w:t>
      </w:r>
      <w:r w:rsidR="005A7354" w:rsidRPr="000E1988">
        <w:rPr>
          <w:rFonts w:ascii="Times New Roman" w:hAnsi="Times New Roman" w:cs="Times New Roman"/>
          <w:sz w:val="24"/>
          <w:szCs w:val="24"/>
        </w:rPr>
        <w:t>zdroj</w:t>
      </w:r>
      <w:r w:rsidR="00805104">
        <w:rPr>
          <w:rFonts w:ascii="Times New Roman" w:hAnsi="Times New Roman" w:cs="Times New Roman"/>
          <w:sz w:val="24"/>
          <w:szCs w:val="24"/>
        </w:rPr>
        <w:t xml:space="preserve"> EÚ)</w:t>
      </w:r>
      <w:r w:rsidR="005A7354" w:rsidRPr="000E1988">
        <w:rPr>
          <w:rFonts w:ascii="Times New Roman" w:hAnsi="Times New Roman" w:cs="Times New Roman"/>
          <w:sz w:val="24"/>
          <w:szCs w:val="24"/>
        </w:rPr>
        <w:t xml:space="preserve"> </w:t>
      </w:r>
      <w:r w:rsidR="002177EA" w:rsidRPr="000E1988">
        <w:rPr>
          <w:rFonts w:ascii="Times New Roman" w:hAnsi="Times New Roman" w:cs="Times New Roman"/>
          <w:sz w:val="24"/>
          <w:szCs w:val="24"/>
        </w:rPr>
        <w:t xml:space="preserve">a z toho len jeden projekt v oblasti </w:t>
      </w:r>
      <w:r w:rsidR="00891865" w:rsidRPr="000E1988">
        <w:rPr>
          <w:rFonts w:ascii="Times New Roman" w:hAnsi="Times New Roman" w:cs="Times New Roman"/>
          <w:sz w:val="24"/>
          <w:szCs w:val="24"/>
        </w:rPr>
        <w:t>intervencie 018</w:t>
      </w:r>
      <w:r w:rsidR="005A7354" w:rsidRPr="000E1988">
        <w:rPr>
          <w:rFonts w:ascii="Times New Roman" w:hAnsi="Times New Roman" w:cs="Times New Roman"/>
          <w:sz w:val="24"/>
          <w:szCs w:val="24"/>
        </w:rPr>
        <w:t xml:space="preserve"> v objeme </w:t>
      </w:r>
      <w:r w:rsidR="005A7354" w:rsidRPr="00037034">
        <w:rPr>
          <w:rFonts w:ascii="Times New Roman" w:hAnsi="Times New Roman" w:cs="Times New Roman"/>
          <w:sz w:val="24"/>
          <w:szCs w:val="24"/>
        </w:rPr>
        <w:t>3 568 300  EUR</w:t>
      </w:r>
      <w:r w:rsidR="005A7354" w:rsidRPr="000E1988">
        <w:rPr>
          <w:rFonts w:ascii="Times New Roman" w:hAnsi="Times New Roman" w:cs="Times New Roman"/>
          <w:sz w:val="24"/>
          <w:szCs w:val="24"/>
        </w:rPr>
        <w:t xml:space="preserve"> (zdroj EÚ)</w:t>
      </w:r>
      <w:r w:rsidRPr="000E1988">
        <w:rPr>
          <w:rFonts w:ascii="Times New Roman" w:hAnsi="Times New Roman" w:cs="Times New Roman"/>
          <w:sz w:val="24"/>
          <w:szCs w:val="24"/>
        </w:rPr>
        <w:t xml:space="preserve">. V druhej výzve s kódom </w:t>
      </w:r>
      <w:r w:rsidR="008F37DF" w:rsidRPr="000E1988">
        <w:rPr>
          <w:rFonts w:ascii="Times New Roman" w:hAnsi="Times New Roman" w:cs="Times New Roman"/>
          <w:sz w:val="24"/>
          <w:szCs w:val="24"/>
        </w:rPr>
        <w:t>OPKZP-PO1-SC111-2016-11</w:t>
      </w:r>
      <w:r w:rsidR="000A4B15" w:rsidRPr="000E1988">
        <w:rPr>
          <w:rFonts w:ascii="Times New Roman" w:hAnsi="Times New Roman" w:cs="Times New Roman"/>
          <w:sz w:val="24"/>
          <w:szCs w:val="24"/>
        </w:rPr>
        <w:t xml:space="preserve"> (ďalej aj „11. výzva“)</w:t>
      </w:r>
      <w:r w:rsidRPr="000E1988">
        <w:rPr>
          <w:rFonts w:ascii="Times New Roman" w:hAnsi="Times New Roman" w:cs="Times New Roman"/>
          <w:sz w:val="24"/>
          <w:szCs w:val="24"/>
        </w:rPr>
        <w:t xml:space="preserve"> bolo schválených 51 žiadostí v sume </w:t>
      </w:r>
      <w:r w:rsidR="008F37DF" w:rsidRPr="000E1988">
        <w:rPr>
          <w:rFonts w:ascii="Times New Roman" w:hAnsi="Times New Roman" w:cs="Times New Roman"/>
          <w:sz w:val="24"/>
          <w:szCs w:val="24"/>
        </w:rPr>
        <w:t>31 546 375</w:t>
      </w:r>
      <w:r w:rsidRPr="000E1988">
        <w:rPr>
          <w:rFonts w:ascii="Times New Roman" w:hAnsi="Times New Roman" w:cs="Times New Roman"/>
          <w:sz w:val="24"/>
          <w:szCs w:val="24"/>
        </w:rPr>
        <w:t xml:space="preserve"> EUR</w:t>
      </w:r>
      <w:r w:rsidR="005A7354" w:rsidRPr="000E1988">
        <w:rPr>
          <w:rFonts w:ascii="Times New Roman" w:hAnsi="Times New Roman" w:cs="Times New Roman"/>
          <w:sz w:val="24"/>
          <w:szCs w:val="24"/>
        </w:rPr>
        <w:t xml:space="preserve"> (zdroj EÚ)</w:t>
      </w:r>
      <w:r w:rsidR="00805104">
        <w:rPr>
          <w:rFonts w:ascii="Times New Roman" w:hAnsi="Times New Roman" w:cs="Times New Roman"/>
          <w:sz w:val="24"/>
          <w:szCs w:val="24"/>
        </w:rPr>
        <w:t>, v</w:t>
      </w:r>
      <w:r w:rsidR="002177EA" w:rsidRPr="000E1988">
        <w:rPr>
          <w:rFonts w:ascii="Times New Roman" w:hAnsi="Times New Roman" w:cs="Times New Roman"/>
          <w:sz w:val="24"/>
          <w:szCs w:val="24"/>
        </w:rPr>
        <w:t>šetky v</w:t>
      </w:r>
      <w:r w:rsidR="00C76DF8" w:rsidRPr="000E1988">
        <w:rPr>
          <w:rFonts w:ascii="Times New Roman" w:hAnsi="Times New Roman" w:cs="Times New Roman"/>
          <w:sz w:val="24"/>
          <w:szCs w:val="24"/>
        </w:rPr>
        <w:t xml:space="preserve"> rámci</w:t>
      </w:r>
      <w:r w:rsidR="002177EA" w:rsidRPr="000E1988">
        <w:rPr>
          <w:rFonts w:ascii="Times New Roman" w:hAnsi="Times New Roman" w:cs="Times New Roman"/>
          <w:sz w:val="24"/>
          <w:szCs w:val="24"/>
        </w:rPr>
        <w:t xml:space="preserve"> oblasti intervencie 017. </w:t>
      </w:r>
    </w:p>
    <w:p w:rsidR="00E10A9B" w:rsidRPr="000E1988" w:rsidRDefault="004C1127" w:rsidP="00E1273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73C">
        <w:rPr>
          <w:rFonts w:ascii="Times New Roman" w:hAnsi="Times New Roman" w:cs="Times New Roman"/>
          <w:b/>
          <w:i/>
          <w:sz w:val="24"/>
          <w:szCs w:val="24"/>
        </w:rPr>
        <w:t>T</w:t>
      </w:r>
      <w:r w:rsidR="007C2775" w:rsidRPr="00E1273C">
        <w:rPr>
          <w:rFonts w:ascii="Times New Roman" w:hAnsi="Times New Roman" w:cs="Times New Roman"/>
          <w:b/>
          <w:i/>
          <w:sz w:val="24"/>
          <w:szCs w:val="24"/>
        </w:rPr>
        <w:t>abuľka</w:t>
      </w:r>
      <w:r w:rsidRPr="00E1273C">
        <w:rPr>
          <w:rFonts w:ascii="Times New Roman" w:hAnsi="Times New Roman" w:cs="Times New Roman"/>
          <w:b/>
          <w:i/>
          <w:sz w:val="24"/>
          <w:szCs w:val="24"/>
        </w:rPr>
        <w:t xml:space="preserve"> č. 1</w:t>
      </w:r>
      <w:r w:rsidR="007C2775" w:rsidRPr="000E1988">
        <w:rPr>
          <w:rFonts w:ascii="Times New Roman" w:hAnsi="Times New Roman" w:cs="Times New Roman"/>
          <w:sz w:val="24"/>
          <w:szCs w:val="24"/>
        </w:rPr>
        <w:t xml:space="preserve"> </w:t>
      </w:r>
      <w:r w:rsidR="0075480E">
        <w:rPr>
          <w:rFonts w:ascii="Times New Roman" w:hAnsi="Times New Roman" w:cs="Times New Roman"/>
          <w:sz w:val="24"/>
          <w:szCs w:val="24"/>
        </w:rPr>
        <w:t>obsahuje</w:t>
      </w:r>
      <w:r w:rsidR="00EF0770" w:rsidRPr="000E1988">
        <w:rPr>
          <w:rFonts w:ascii="Times New Roman" w:hAnsi="Times New Roman" w:cs="Times New Roman"/>
          <w:sz w:val="24"/>
          <w:szCs w:val="24"/>
        </w:rPr>
        <w:t xml:space="preserve"> údaje o rozdelení </w:t>
      </w:r>
      <w:r w:rsidR="0075480E">
        <w:rPr>
          <w:rFonts w:ascii="Times New Roman" w:hAnsi="Times New Roman" w:cs="Times New Roman"/>
          <w:sz w:val="24"/>
          <w:szCs w:val="24"/>
        </w:rPr>
        <w:t xml:space="preserve">finančných prostriedkov </w:t>
      </w:r>
      <w:r w:rsidR="007C2775" w:rsidRPr="000E1988">
        <w:rPr>
          <w:rFonts w:ascii="Times New Roman" w:hAnsi="Times New Roman" w:cs="Times New Roman"/>
          <w:sz w:val="24"/>
          <w:szCs w:val="24"/>
        </w:rPr>
        <w:t>podľa oblastí inte</w:t>
      </w:r>
      <w:r w:rsidR="00EF0770" w:rsidRPr="000E1988">
        <w:rPr>
          <w:rFonts w:ascii="Times New Roman" w:hAnsi="Times New Roman" w:cs="Times New Roman"/>
          <w:sz w:val="24"/>
          <w:szCs w:val="24"/>
        </w:rPr>
        <w:t>rve</w:t>
      </w:r>
      <w:r w:rsidR="007C2775" w:rsidRPr="000E1988">
        <w:rPr>
          <w:rFonts w:ascii="Times New Roman" w:hAnsi="Times New Roman" w:cs="Times New Roman"/>
          <w:sz w:val="24"/>
          <w:szCs w:val="24"/>
        </w:rPr>
        <w:t>ncií 017, 018 a</w:t>
      </w:r>
      <w:r w:rsidR="00EF0770" w:rsidRPr="000E1988">
        <w:rPr>
          <w:rFonts w:ascii="Times New Roman" w:hAnsi="Times New Roman" w:cs="Times New Roman"/>
          <w:sz w:val="24"/>
          <w:szCs w:val="24"/>
        </w:rPr>
        <w:t> </w:t>
      </w:r>
      <w:r w:rsidR="007C2775" w:rsidRPr="000E1988">
        <w:rPr>
          <w:rFonts w:ascii="Times New Roman" w:hAnsi="Times New Roman" w:cs="Times New Roman"/>
          <w:sz w:val="24"/>
          <w:szCs w:val="24"/>
        </w:rPr>
        <w:t>019</w:t>
      </w:r>
      <w:r w:rsidR="00EF0770" w:rsidRPr="000E1988">
        <w:rPr>
          <w:rFonts w:ascii="Times New Roman" w:hAnsi="Times New Roman" w:cs="Times New Roman"/>
          <w:sz w:val="24"/>
          <w:szCs w:val="24"/>
        </w:rPr>
        <w:t xml:space="preserve"> </w:t>
      </w:r>
      <w:r w:rsidR="0075480E">
        <w:rPr>
          <w:rFonts w:ascii="Times New Roman" w:hAnsi="Times New Roman" w:cs="Times New Roman"/>
          <w:sz w:val="24"/>
          <w:szCs w:val="24"/>
        </w:rPr>
        <w:t>(v súlade s údajmi v texte OP KŽP) a </w:t>
      </w:r>
      <w:r w:rsidR="0075480E">
        <w:rPr>
          <w:rFonts w:ascii="Times New Roman" w:hAnsi="Times New Roman" w:cs="Times New Roman"/>
          <w:sz w:val="24"/>
          <w:szCs w:val="24"/>
        </w:rPr>
        <w:br/>
        <w:t xml:space="preserve">o </w:t>
      </w:r>
      <w:r w:rsidR="00EF0770" w:rsidRPr="000E1988">
        <w:rPr>
          <w:rFonts w:ascii="Times New Roman" w:hAnsi="Times New Roman" w:cs="Times New Roman"/>
          <w:sz w:val="24"/>
          <w:szCs w:val="24"/>
        </w:rPr>
        <w:t>všetkých schválených projekto</w:t>
      </w:r>
      <w:r w:rsidR="0075480E">
        <w:rPr>
          <w:rFonts w:ascii="Times New Roman" w:hAnsi="Times New Roman" w:cs="Times New Roman"/>
          <w:sz w:val="24"/>
          <w:szCs w:val="24"/>
        </w:rPr>
        <w:t>ch</w:t>
      </w:r>
      <w:r w:rsidR="007C2775" w:rsidRPr="000E1988">
        <w:rPr>
          <w:rFonts w:ascii="Times New Roman" w:hAnsi="Times New Roman" w:cs="Times New Roman"/>
          <w:sz w:val="24"/>
          <w:szCs w:val="24"/>
        </w:rPr>
        <w:t>.</w:t>
      </w:r>
    </w:p>
    <w:p w:rsidR="007C2775" w:rsidRPr="00E1273C" w:rsidRDefault="007C2775" w:rsidP="00E1273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273C">
        <w:rPr>
          <w:rFonts w:ascii="Times New Roman" w:hAnsi="Times New Roman" w:cs="Times New Roman"/>
          <w:i/>
          <w:sz w:val="24"/>
          <w:szCs w:val="24"/>
        </w:rPr>
        <w:t xml:space="preserve">Tabuľka </w:t>
      </w:r>
      <w:r w:rsidR="006D747C" w:rsidRPr="00E1273C">
        <w:rPr>
          <w:rFonts w:ascii="Times New Roman" w:hAnsi="Times New Roman" w:cs="Times New Roman"/>
          <w:i/>
          <w:sz w:val="24"/>
          <w:szCs w:val="24"/>
        </w:rPr>
        <w:t xml:space="preserve">č. </w:t>
      </w:r>
      <w:r w:rsidRPr="00E1273C">
        <w:rPr>
          <w:rFonts w:ascii="Times New Roman" w:hAnsi="Times New Roman" w:cs="Times New Roman"/>
          <w:i/>
          <w:sz w:val="24"/>
          <w:szCs w:val="24"/>
        </w:rPr>
        <w:t>1:</w:t>
      </w:r>
      <w:r w:rsidR="00923D37" w:rsidRPr="00E1273C">
        <w:rPr>
          <w:rFonts w:ascii="Times New Roman" w:hAnsi="Times New Roman" w:cs="Times New Roman"/>
          <w:i/>
          <w:sz w:val="24"/>
          <w:szCs w:val="24"/>
        </w:rPr>
        <w:t xml:space="preserve"> Rozdelenie alokácie na oblasti intervencie v rámci uzatvorených výziev</w:t>
      </w:r>
      <w:r w:rsidR="005A7354" w:rsidRPr="00E1273C">
        <w:rPr>
          <w:rFonts w:ascii="Times New Roman" w:hAnsi="Times New Roman" w:cs="Times New Roman"/>
          <w:i/>
          <w:sz w:val="24"/>
          <w:szCs w:val="24"/>
        </w:rPr>
        <w:t xml:space="preserve"> v EUR (</w:t>
      </w:r>
      <w:r w:rsidR="003206D9">
        <w:rPr>
          <w:rFonts w:ascii="Times New Roman" w:hAnsi="Times New Roman" w:cs="Times New Roman"/>
          <w:i/>
          <w:sz w:val="24"/>
          <w:szCs w:val="24"/>
        </w:rPr>
        <w:t xml:space="preserve">EÚ </w:t>
      </w:r>
      <w:r w:rsidR="005A7354" w:rsidRPr="00E1273C">
        <w:rPr>
          <w:rFonts w:ascii="Times New Roman" w:hAnsi="Times New Roman" w:cs="Times New Roman"/>
          <w:i/>
          <w:sz w:val="24"/>
          <w:szCs w:val="24"/>
        </w:rPr>
        <w:t>zdroj)</w:t>
      </w:r>
    </w:p>
    <w:tbl>
      <w:tblPr>
        <w:tblW w:w="9291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3"/>
        <w:gridCol w:w="2030"/>
        <w:gridCol w:w="1843"/>
        <w:gridCol w:w="1559"/>
        <w:gridCol w:w="1626"/>
      </w:tblGrid>
      <w:tr w:rsidR="00EF4606" w:rsidRPr="000E1988" w:rsidTr="00556CFA">
        <w:trPr>
          <w:trHeight w:val="436"/>
        </w:trPr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DE9D9"/>
            <w:vAlign w:val="center"/>
            <w:hideMark/>
          </w:tcPr>
          <w:p w:rsidR="00EF4606" w:rsidRPr="00E1273C" w:rsidRDefault="00EF4606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Oblasť intervencie</w:t>
            </w:r>
          </w:p>
          <w:p w:rsidR="00EF4606" w:rsidRPr="00E1273C" w:rsidRDefault="00EF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(kód) 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DE9D9"/>
            <w:noWrap/>
            <w:vAlign w:val="center"/>
            <w:hideMark/>
          </w:tcPr>
          <w:p w:rsidR="00EF4606" w:rsidRPr="00E1273C" w:rsidRDefault="00EF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Alokácia na oblasť intervencie  </w:t>
            </w:r>
          </w:p>
          <w:p w:rsidR="00EF4606" w:rsidRPr="00E1273C" w:rsidRDefault="00EF4606" w:rsidP="00754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(v OP KŽP) 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DE9D9"/>
            <w:noWrap/>
            <w:vAlign w:val="center"/>
            <w:hideMark/>
          </w:tcPr>
          <w:p w:rsidR="00EF4606" w:rsidRPr="00E1273C" w:rsidRDefault="00EF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Ukončené výzvy</w:t>
            </w:r>
          </w:p>
        </w:tc>
        <w:tc>
          <w:tcPr>
            <w:tcW w:w="16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EF4606" w:rsidRPr="00E1273C" w:rsidRDefault="00EF4606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Schválené projekty</w:t>
            </w:r>
          </w:p>
        </w:tc>
      </w:tr>
      <w:tr w:rsidR="00EF4606" w:rsidRPr="000E1988" w:rsidTr="00E1273C">
        <w:trPr>
          <w:trHeight w:val="479"/>
        </w:trPr>
        <w:tc>
          <w:tcPr>
            <w:tcW w:w="223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F4606" w:rsidRPr="000E1988" w:rsidRDefault="00EF4606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000000" w:fill="FDE9D9"/>
            <w:noWrap/>
            <w:vAlign w:val="center"/>
            <w:hideMark/>
          </w:tcPr>
          <w:p w:rsidR="00EF4606" w:rsidRPr="000E1988" w:rsidRDefault="00EF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F4606" w:rsidRPr="000E1988" w:rsidRDefault="00EF4606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10. výzva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EF4606" w:rsidRPr="000E1988" w:rsidRDefault="00EF4606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11. výzva</w:t>
            </w:r>
          </w:p>
        </w:tc>
        <w:tc>
          <w:tcPr>
            <w:tcW w:w="16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F4606" w:rsidRPr="000E1988" w:rsidRDefault="00EF4606" w:rsidP="007E0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8F37DF" w:rsidRPr="000E1988" w:rsidTr="00E1273C">
        <w:trPr>
          <w:trHeight w:val="300"/>
        </w:trPr>
        <w:tc>
          <w:tcPr>
            <w:tcW w:w="22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EF0770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  <w:r w:rsidR="008F37DF"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203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DF" w:rsidRPr="000E1988" w:rsidRDefault="008F37D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145 810 087  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8F37D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45 051 130  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8F37D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31 546 375  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E20E2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76 597 505   </w:t>
            </w:r>
          </w:p>
        </w:tc>
      </w:tr>
      <w:tr w:rsidR="008F37DF" w:rsidRPr="000E1988" w:rsidTr="00E1273C">
        <w:trPr>
          <w:trHeight w:val="31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EF0770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  <w:r w:rsidR="008F37DF"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18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DF" w:rsidRPr="000E1988" w:rsidRDefault="008F37D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5 357 517  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8F37D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3 568 300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EF0770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</w:t>
            </w:r>
            <w:r w:rsidR="008F37DF"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E20E2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3 568 300   </w:t>
            </w:r>
          </w:p>
        </w:tc>
      </w:tr>
      <w:tr w:rsidR="008F37DF" w:rsidRPr="000E1988" w:rsidTr="00E1273C">
        <w:trPr>
          <w:trHeight w:val="315"/>
        </w:trPr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EF0770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  <w:r w:rsidR="008F37DF"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19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DF" w:rsidRPr="000E1988" w:rsidRDefault="008F37D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251 715 162  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EF0770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</w:t>
            </w:r>
            <w:r w:rsidR="008F37DF"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EF0770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</w:t>
            </w:r>
            <w:r w:rsidR="008F37DF"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E20E2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-     </w:t>
            </w:r>
          </w:p>
        </w:tc>
      </w:tr>
      <w:tr w:rsidR="008F37DF" w:rsidRPr="000E1988" w:rsidTr="00E1273C">
        <w:trPr>
          <w:trHeight w:val="315"/>
        </w:trPr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8F37DF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Spolu</w:t>
            </w:r>
          </w:p>
        </w:tc>
        <w:tc>
          <w:tcPr>
            <w:tcW w:w="20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DF" w:rsidRPr="000E1988" w:rsidRDefault="008F37D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402 882 766  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8F37D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48 619 430  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8F37D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31 546 375   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E20E2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80 165 805   </w:t>
            </w:r>
          </w:p>
        </w:tc>
      </w:tr>
    </w:tbl>
    <w:p w:rsidR="008F37DF" w:rsidRPr="000E1988" w:rsidRDefault="008F37DF" w:rsidP="00E127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D19" w:rsidRPr="000E1988" w:rsidRDefault="007C2775" w:rsidP="0003703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104">
        <w:rPr>
          <w:rFonts w:ascii="Times New Roman" w:hAnsi="Times New Roman" w:cs="Times New Roman"/>
          <w:sz w:val="24"/>
          <w:szCs w:val="24"/>
        </w:rPr>
        <w:t xml:space="preserve">K 31. 05. 2017 sú vyhlásené </w:t>
      </w:r>
      <w:r w:rsidRPr="00086A83">
        <w:rPr>
          <w:rFonts w:ascii="Times New Roman" w:hAnsi="Times New Roman" w:cs="Times New Roman"/>
          <w:b/>
          <w:sz w:val="24"/>
          <w:szCs w:val="24"/>
        </w:rPr>
        <w:t xml:space="preserve">štyri </w:t>
      </w:r>
      <w:r w:rsidR="004E7908" w:rsidRPr="00086A83">
        <w:rPr>
          <w:rFonts w:ascii="Times New Roman" w:hAnsi="Times New Roman" w:cs="Times New Roman"/>
          <w:b/>
          <w:sz w:val="24"/>
          <w:szCs w:val="24"/>
        </w:rPr>
        <w:t xml:space="preserve">otvorené </w:t>
      </w:r>
      <w:r w:rsidRPr="00086A83">
        <w:rPr>
          <w:rFonts w:ascii="Times New Roman" w:hAnsi="Times New Roman" w:cs="Times New Roman"/>
          <w:b/>
          <w:sz w:val="24"/>
          <w:szCs w:val="24"/>
        </w:rPr>
        <w:t>výzvy</w:t>
      </w:r>
      <w:r w:rsidR="00176E33" w:rsidRPr="00805104">
        <w:rPr>
          <w:rFonts w:ascii="Times New Roman" w:hAnsi="Times New Roman" w:cs="Times New Roman"/>
          <w:sz w:val="24"/>
          <w:szCs w:val="24"/>
        </w:rPr>
        <w:t xml:space="preserve"> v objeme 161 mil. EUR (EÚ zdroj)</w:t>
      </w:r>
      <w:r w:rsidRPr="00805104">
        <w:rPr>
          <w:rFonts w:ascii="Times New Roman" w:hAnsi="Times New Roman" w:cs="Times New Roman"/>
          <w:sz w:val="24"/>
          <w:szCs w:val="24"/>
        </w:rPr>
        <w:t>.</w:t>
      </w:r>
      <w:r w:rsidR="00176E33" w:rsidRPr="00805104">
        <w:rPr>
          <w:rFonts w:ascii="Times New Roman" w:hAnsi="Times New Roman" w:cs="Times New Roman"/>
          <w:sz w:val="24"/>
          <w:szCs w:val="24"/>
        </w:rPr>
        <w:t xml:space="preserve"> </w:t>
      </w:r>
      <w:r w:rsidR="004E7908" w:rsidRPr="00805104">
        <w:rPr>
          <w:rFonts w:ascii="Times New Roman" w:hAnsi="Times New Roman" w:cs="Times New Roman"/>
          <w:sz w:val="24"/>
          <w:szCs w:val="24"/>
        </w:rPr>
        <w:t>Z toho dve výzvy sa venujú minimálne dvom oblastiam intervenci</w:t>
      </w:r>
      <w:r w:rsidR="005A7354" w:rsidRPr="00805104">
        <w:rPr>
          <w:rFonts w:ascii="Times New Roman" w:hAnsi="Times New Roman" w:cs="Times New Roman"/>
          <w:sz w:val="24"/>
          <w:szCs w:val="24"/>
        </w:rPr>
        <w:t>í (</w:t>
      </w:r>
      <w:r w:rsidR="00176E33" w:rsidRPr="00037034">
        <w:rPr>
          <w:rFonts w:ascii="Times New Roman" w:hAnsi="Times New Roman" w:cs="Times New Roman"/>
          <w:sz w:val="24"/>
          <w:szCs w:val="24"/>
        </w:rPr>
        <w:t xml:space="preserve">najmä </w:t>
      </w:r>
      <w:r w:rsidR="005A7354" w:rsidRPr="00037034">
        <w:rPr>
          <w:rFonts w:ascii="Times New Roman" w:hAnsi="Times New Roman" w:cs="Times New Roman"/>
          <w:sz w:val="24"/>
          <w:szCs w:val="24"/>
        </w:rPr>
        <w:t>017 a 019)</w:t>
      </w:r>
      <w:r w:rsidR="004E7908" w:rsidRPr="00037034">
        <w:rPr>
          <w:rFonts w:ascii="Times New Roman" w:hAnsi="Times New Roman" w:cs="Times New Roman"/>
          <w:sz w:val="24"/>
          <w:szCs w:val="24"/>
        </w:rPr>
        <w:t>.</w:t>
      </w:r>
      <w:r w:rsidR="003C6D19" w:rsidRPr="00805104">
        <w:rPr>
          <w:rFonts w:ascii="Times New Roman" w:hAnsi="Times New Roman" w:cs="Times New Roman"/>
          <w:sz w:val="24"/>
          <w:szCs w:val="24"/>
        </w:rPr>
        <w:t xml:space="preserve"> </w:t>
      </w:r>
      <w:r w:rsidR="003C6D19" w:rsidRPr="000E1988">
        <w:rPr>
          <w:rFonts w:ascii="Times New Roman" w:hAnsi="Times New Roman" w:cs="Times New Roman"/>
          <w:sz w:val="24"/>
          <w:szCs w:val="24"/>
        </w:rPr>
        <w:t>Čerpanie v rámci oblastí intervencií m</w:t>
      </w:r>
      <w:r w:rsidR="00805104">
        <w:rPr>
          <w:rFonts w:ascii="Times New Roman" w:hAnsi="Times New Roman" w:cs="Times New Roman"/>
          <w:sz w:val="24"/>
          <w:szCs w:val="24"/>
        </w:rPr>
        <w:t>ožno</w:t>
      </w:r>
      <w:r w:rsidR="003C6D19" w:rsidRPr="000E1988">
        <w:rPr>
          <w:rFonts w:ascii="Times New Roman" w:hAnsi="Times New Roman" w:cs="Times New Roman"/>
          <w:sz w:val="24"/>
          <w:szCs w:val="24"/>
        </w:rPr>
        <w:t xml:space="preserve"> </w:t>
      </w:r>
      <w:r w:rsidR="00176E33" w:rsidRPr="000E1988">
        <w:rPr>
          <w:rFonts w:ascii="Times New Roman" w:hAnsi="Times New Roman" w:cs="Times New Roman"/>
          <w:sz w:val="24"/>
          <w:szCs w:val="24"/>
        </w:rPr>
        <w:t>v súčasnosti i</w:t>
      </w:r>
      <w:r w:rsidR="003C6D19" w:rsidRPr="000E1988">
        <w:rPr>
          <w:rFonts w:ascii="Times New Roman" w:hAnsi="Times New Roman" w:cs="Times New Roman"/>
          <w:sz w:val="24"/>
          <w:szCs w:val="24"/>
        </w:rPr>
        <w:t>ba predpokladať</w:t>
      </w:r>
      <w:r w:rsidR="00417984" w:rsidRPr="000E1988">
        <w:rPr>
          <w:rFonts w:ascii="Times New Roman" w:hAnsi="Times New Roman" w:cs="Times New Roman"/>
          <w:sz w:val="24"/>
          <w:szCs w:val="24"/>
        </w:rPr>
        <w:t>,</w:t>
      </w:r>
      <w:r w:rsidR="003C6D19" w:rsidRPr="000E1988">
        <w:rPr>
          <w:rFonts w:ascii="Times New Roman" w:hAnsi="Times New Roman" w:cs="Times New Roman"/>
          <w:sz w:val="24"/>
          <w:szCs w:val="24"/>
        </w:rPr>
        <w:t xml:space="preserve"> a to na základe zazmluvnených alebo na základe predložených projektov.</w:t>
      </w:r>
      <w:r w:rsidR="00827BC8">
        <w:rPr>
          <w:rFonts w:ascii="Times New Roman" w:hAnsi="Times New Roman" w:cs="Times New Roman"/>
          <w:sz w:val="24"/>
          <w:szCs w:val="24"/>
        </w:rPr>
        <w:t xml:space="preserve"> Konkrétne ide o tieto výzvy: </w:t>
      </w:r>
    </w:p>
    <w:p w:rsidR="00FB0595" w:rsidRDefault="00B22A0E">
      <w:pPr>
        <w:pStyle w:val="Odsekzoznamu"/>
        <w:numPr>
          <w:ilvl w:val="0"/>
          <w:numId w:val="7"/>
        </w:numPr>
        <w:spacing w:after="120"/>
        <w:ind w:left="714" w:hanging="357"/>
        <w:contextualSpacing w:val="0"/>
        <w:jc w:val="both"/>
      </w:pPr>
      <w:r w:rsidRPr="00037034">
        <w:t xml:space="preserve">Výzva s kódom </w:t>
      </w:r>
      <w:r w:rsidR="00EF0770" w:rsidRPr="00037034">
        <w:t>OPKZP-PO1-SC111-2016-12</w:t>
      </w:r>
      <w:r w:rsidR="000A4B15" w:rsidRPr="00037034">
        <w:t xml:space="preserve"> (ďalej aj „12. výzva“)</w:t>
      </w:r>
      <w:r w:rsidR="004E7908" w:rsidRPr="00037034">
        <w:t>,</w:t>
      </w:r>
      <w:r w:rsidRPr="00037034">
        <w:t xml:space="preserve"> v rámci ktorej bola predložená jedna žiadosť na zavedenie informačného systému odpadovéh</w:t>
      </w:r>
      <w:r w:rsidR="00923D37" w:rsidRPr="00037034">
        <w:t xml:space="preserve">o hospodárstva žiadateľa MŽP SR, </w:t>
      </w:r>
      <w:r w:rsidR="003C6D19" w:rsidRPr="00037034">
        <w:t>je v súčasnosti v procese administratívneho overovania</w:t>
      </w:r>
      <w:r w:rsidR="00891865" w:rsidRPr="00037034">
        <w:t xml:space="preserve">. </w:t>
      </w:r>
      <w:r w:rsidR="00CB43DC" w:rsidRPr="00037034">
        <w:t xml:space="preserve">Výška žiadaných finančných prostriedkov z EÚ zdrojov je </w:t>
      </w:r>
      <w:r w:rsidR="00CB43DC" w:rsidRPr="00FB0595">
        <w:rPr>
          <w:bCs/>
          <w:color w:val="000000"/>
        </w:rPr>
        <w:t>15 986 769 EUR.</w:t>
      </w:r>
      <w:r w:rsidR="00CB43DC" w:rsidRPr="00FB0595">
        <w:rPr>
          <w:b/>
          <w:bCs/>
          <w:color w:val="000000"/>
        </w:rPr>
        <w:t xml:space="preserve"> </w:t>
      </w:r>
      <w:r w:rsidR="00891865" w:rsidRPr="00037034">
        <w:t xml:space="preserve">Keďže </w:t>
      </w:r>
      <w:r w:rsidR="003C6D19" w:rsidRPr="00037034">
        <w:t xml:space="preserve">informačný systém pokrýva nakladanie s nebezpečnými aj nie nebezpečnými odpadmi, komunálnymi aj priemyselnými odpadmi, je </w:t>
      </w:r>
      <w:r w:rsidR="00891865" w:rsidRPr="00037034">
        <w:t>v žiadosti uvedené, že sa týka oblastí intervenci</w:t>
      </w:r>
      <w:r w:rsidR="009520B1" w:rsidRPr="00037034">
        <w:t>í</w:t>
      </w:r>
      <w:r w:rsidR="00891865" w:rsidRPr="00037034">
        <w:t xml:space="preserve"> 017, 018 a 019, </w:t>
      </w:r>
      <w:r w:rsidR="003C6D19" w:rsidRPr="00037034">
        <w:t>pričom rozdelenie finančných prostriedkov</w:t>
      </w:r>
      <w:r w:rsidR="004E7908" w:rsidRPr="00037034">
        <w:t xml:space="preserve"> medzi oblasti intervencie je </w:t>
      </w:r>
      <w:r w:rsidR="009520B1" w:rsidRPr="00037034">
        <w:t xml:space="preserve">vykonané rovnomerne </w:t>
      </w:r>
      <w:r w:rsidR="004E7908" w:rsidRPr="00037034">
        <w:t>po tretinách.</w:t>
      </w:r>
    </w:p>
    <w:p w:rsidR="004F537E" w:rsidRPr="00037034" w:rsidRDefault="004F537E">
      <w:pPr>
        <w:pStyle w:val="Odsekzoznamu"/>
        <w:numPr>
          <w:ilvl w:val="0"/>
          <w:numId w:val="7"/>
        </w:numPr>
        <w:spacing w:after="120"/>
        <w:ind w:left="714" w:hanging="357"/>
        <w:contextualSpacing w:val="0"/>
        <w:jc w:val="both"/>
      </w:pPr>
      <w:r w:rsidRPr="00037034">
        <w:lastRenderedPageBreak/>
        <w:t>Výzva s kódom OPKZP-PO1-SC111-2016-15</w:t>
      </w:r>
      <w:r w:rsidR="000A4B15" w:rsidRPr="00037034">
        <w:t xml:space="preserve"> (ďalej aj „15. výzva“)</w:t>
      </w:r>
      <w:r w:rsidRPr="00037034">
        <w:t xml:space="preserve"> je zameraná na prípravu na opätovné použitie a recykláciu nebezpečných odpadov. Nakoľko najvýznamnejším producentom nebezpečného odpadu je priemyselná sféra, výzva je zaradená do oblasti intervencie 019.</w:t>
      </w:r>
    </w:p>
    <w:p w:rsidR="004E7908" w:rsidRPr="00037034" w:rsidRDefault="004E7908" w:rsidP="00E1273C">
      <w:pPr>
        <w:pStyle w:val="Odsekzoznamu"/>
        <w:numPr>
          <w:ilvl w:val="0"/>
          <w:numId w:val="7"/>
        </w:numPr>
        <w:spacing w:after="120"/>
        <w:ind w:left="714" w:hanging="357"/>
        <w:contextualSpacing w:val="0"/>
        <w:jc w:val="both"/>
      </w:pPr>
      <w:r w:rsidRPr="00037034">
        <w:t xml:space="preserve">Výzva s kódom OPKZP-PO1-SC111-2016-16 </w:t>
      </w:r>
      <w:r w:rsidR="000A4B15" w:rsidRPr="00037034">
        <w:t xml:space="preserve">(ďalej aj „16. výzva“) </w:t>
      </w:r>
      <w:r w:rsidR="003C6D19" w:rsidRPr="00037034">
        <w:t>je</w:t>
      </w:r>
      <w:r w:rsidRPr="00037034">
        <w:t xml:space="preserve"> výzva zameraná na dve oblasti intervenci</w:t>
      </w:r>
      <w:r w:rsidR="009520B1" w:rsidRPr="00037034">
        <w:t>í</w:t>
      </w:r>
      <w:r w:rsidRPr="00037034">
        <w:t xml:space="preserve"> 017 a 019. Predpoklad rovnomerného rozdelenia medzi obe oblasti intervencie </w:t>
      </w:r>
      <w:r w:rsidR="003C6D19" w:rsidRPr="00037034">
        <w:t>vychádza z</w:t>
      </w:r>
      <w:r w:rsidRPr="00037034">
        <w:t xml:space="preserve"> pomeru doteraz prijatých </w:t>
      </w:r>
      <w:r w:rsidR="00A772B4" w:rsidRPr="00037034">
        <w:t xml:space="preserve">žiadostí, </w:t>
      </w:r>
      <w:r w:rsidR="003C6D19" w:rsidRPr="00037034">
        <w:t>ktorý je</w:t>
      </w:r>
      <w:r w:rsidRPr="00037034">
        <w:t xml:space="preserve"> 50 % na</w:t>
      </w:r>
      <w:r w:rsidR="003C6D19" w:rsidRPr="00037034">
        <w:t xml:space="preserve"> oblasť </w:t>
      </w:r>
      <w:r w:rsidR="00CB43DC" w:rsidRPr="00037034">
        <w:t>intervencie</w:t>
      </w:r>
      <w:r w:rsidRPr="00037034">
        <w:t xml:space="preserve"> 017 a  50 % na</w:t>
      </w:r>
      <w:r w:rsidR="009520B1" w:rsidRPr="00037034">
        <w:t xml:space="preserve"> oblasť intervencie</w:t>
      </w:r>
      <w:r w:rsidRPr="00037034">
        <w:t xml:space="preserve"> 019.</w:t>
      </w:r>
      <w:r w:rsidR="00A772B4" w:rsidRPr="00037034">
        <w:t xml:space="preserve"> </w:t>
      </w:r>
      <w:r w:rsidR="004F537E" w:rsidRPr="00037034">
        <w:t>Uvedené rozdelenie vychádza z Hodnotenia aktuálneho stavu implementácie OP KŽP</w:t>
      </w:r>
      <w:r w:rsidR="00A772B4" w:rsidRPr="00037034">
        <w:t>.</w:t>
      </w:r>
    </w:p>
    <w:p w:rsidR="004F537E" w:rsidRPr="00037034" w:rsidRDefault="004F537E" w:rsidP="00037034">
      <w:pPr>
        <w:pStyle w:val="Odsekzoznamu"/>
        <w:numPr>
          <w:ilvl w:val="0"/>
          <w:numId w:val="7"/>
        </w:numPr>
        <w:spacing w:after="120"/>
        <w:ind w:left="714" w:hanging="357"/>
        <w:contextualSpacing w:val="0"/>
        <w:jc w:val="both"/>
      </w:pPr>
      <w:r w:rsidRPr="00037034">
        <w:t>V zmysle indikatívneho harmonogramu zverejňovania výziev, ministerstvo vyhlásilo v máji 2017 výzvu</w:t>
      </w:r>
      <w:r w:rsidR="00CB43DC" w:rsidRPr="00037034">
        <w:t xml:space="preserve"> s kódom OPKZP-PO1-SC111-2017-23</w:t>
      </w:r>
      <w:r w:rsidR="000A4B15" w:rsidRPr="00037034">
        <w:t xml:space="preserve"> (ďalej aj „23. výzva“)</w:t>
      </w:r>
      <w:r w:rsidRPr="00037034">
        <w:t xml:space="preserve"> zameranú na predchádzanie vzniku biologicky rozložiteľných </w:t>
      </w:r>
      <w:r w:rsidR="00AE1BAC" w:rsidRPr="00037034">
        <w:t xml:space="preserve">komunálnych </w:t>
      </w:r>
      <w:r w:rsidRPr="00037034">
        <w:t>odpadov. Výzva svojím zameraním spadá do oblasti intervencie 017.</w:t>
      </w:r>
    </w:p>
    <w:p w:rsidR="008B509F" w:rsidRDefault="004E7908" w:rsidP="00E127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988">
        <w:rPr>
          <w:rFonts w:ascii="Times New Roman" w:hAnsi="Times New Roman" w:cs="Times New Roman"/>
          <w:sz w:val="24"/>
          <w:szCs w:val="24"/>
        </w:rPr>
        <w:t xml:space="preserve">V rámci </w:t>
      </w:r>
      <w:r w:rsidR="00CB43DC" w:rsidRPr="00E1273C">
        <w:rPr>
          <w:rFonts w:ascii="Times New Roman" w:hAnsi="Times New Roman" w:cs="Times New Roman"/>
          <w:i/>
          <w:sz w:val="24"/>
          <w:szCs w:val="24"/>
        </w:rPr>
        <w:t>tabuľky</w:t>
      </w:r>
      <w:r w:rsidR="00EF4606" w:rsidRPr="00E1273C">
        <w:rPr>
          <w:rFonts w:ascii="Times New Roman" w:hAnsi="Times New Roman" w:cs="Times New Roman"/>
          <w:i/>
          <w:sz w:val="24"/>
          <w:szCs w:val="24"/>
        </w:rPr>
        <w:t xml:space="preserve"> č. 2</w:t>
      </w:r>
      <w:r w:rsidR="00CB43DC" w:rsidRPr="000E1988">
        <w:rPr>
          <w:rFonts w:ascii="Times New Roman" w:hAnsi="Times New Roman" w:cs="Times New Roman"/>
          <w:sz w:val="24"/>
          <w:szCs w:val="24"/>
        </w:rPr>
        <w:t xml:space="preserve"> </w:t>
      </w:r>
      <w:r w:rsidR="004F537E" w:rsidRPr="000E1988">
        <w:rPr>
          <w:rFonts w:ascii="Times New Roman" w:hAnsi="Times New Roman" w:cs="Times New Roman"/>
          <w:sz w:val="24"/>
          <w:szCs w:val="24"/>
        </w:rPr>
        <w:t xml:space="preserve">sú uvedené </w:t>
      </w:r>
      <w:r w:rsidR="008B509F">
        <w:rPr>
          <w:rFonts w:ascii="Times New Roman" w:hAnsi="Times New Roman" w:cs="Times New Roman"/>
          <w:sz w:val="24"/>
          <w:szCs w:val="24"/>
        </w:rPr>
        <w:t>alokácie n</w:t>
      </w:r>
      <w:r w:rsidR="00F0533F" w:rsidRPr="000E1988">
        <w:rPr>
          <w:rFonts w:ascii="Times New Roman" w:hAnsi="Times New Roman" w:cs="Times New Roman"/>
          <w:sz w:val="24"/>
          <w:szCs w:val="24"/>
        </w:rPr>
        <w:t>a jednotlivé výzvy</w:t>
      </w:r>
      <w:r w:rsidR="008B509F">
        <w:rPr>
          <w:rFonts w:ascii="Times New Roman" w:hAnsi="Times New Roman" w:cs="Times New Roman"/>
          <w:sz w:val="24"/>
          <w:szCs w:val="24"/>
        </w:rPr>
        <w:t xml:space="preserve"> v ich predpokladanom rozdelení podľa </w:t>
      </w:r>
      <w:r w:rsidR="00F0533F" w:rsidRPr="000E1988">
        <w:rPr>
          <w:rFonts w:ascii="Times New Roman" w:hAnsi="Times New Roman" w:cs="Times New Roman"/>
          <w:sz w:val="24"/>
          <w:szCs w:val="24"/>
        </w:rPr>
        <w:t>oblast</w:t>
      </w:r>
      <w:r w:rsidR="008B509F">
        <w:rPr>
          <w:rFonts w:ascii="Times New Roman" w:hAnsi="Times New Roman" w:cs="Times New Roman"/>
          <w:sz w:val="24"/>
          <w:szCs w:val="24"/>
        </w:rPr>
        <w:t>í</w:t>
      </w:r>
      <w:r w:rsidR="00F0533F" w:rsidRPr="000E1988">
        <w:rPr>
          <w:rFonts w:ascii="Times New Roman" w:hAnsi="Times New Roman" w:cs="Times New Roman"/>
          <w:sz w:val="24"/>
          <w:szCs w:val="24"/>
        </w:rPr>
        <w:t xml:space="preserve"> intervenci</w:t>
      </w:r>
      <w:r w:rsidR="009520B1" w:rsidRPr="000E1988">
        <w:rPr>
          <w:rFonts w:ascii="Times New Roman" w:hAnsi="Times New Roman" w:cs="Times New Roman"/>
          <w:sz w:val="24"/>
          <w:szCs w:val="24"/>
        </w:rPr>
        <w:t>í</w:t>
      </w:r>
      <w:r w:rsidR="00F0533F" w:rsidRPr="000E19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27146" w:rsidRPr="000E1988" w:rsidRDefault="008B509F" w:rsidP="00E1273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Uvedená t</w:t>
      </w:r>
      <w:r w:rsidR="00F0533F" w:rsidRPr="000E1988">
        <w:rPr>
          <w:rFonts w:ascii="Times New Roman" w:hAnsi="Times New Roman" w:cs="Times New Roman"/>
          <w:sz w:val="24"/>
          <w:szCs w:val="24"/>
        </w:rPr>
        <w:t>abuľka</w:t>
      </w:r>
      <w:r w:rsidR="00530B45" w:rsidRPr="000E1988">
        <w:rPr>
          <w:rFonts w:ascii="Times New Roman" w:hAnsi="Times New Roman" w:cs="Times New Roman"/>
          <w:sz w:val="24"/>
          <w:szCs w:val="24"/>
        </w:rPr>
        <w:t xml:space="preserve"> </w:t>
      </w:r>
      <w:r w:rsidR="00F0533F" w:rsidRPr="000E1988">
        <w:rPr>
          <w:rFonts w:ascii="Times New Roman" w:hAnsi="Times New Roman" w:cs="Times New Roman"/>
          <w:sz w:val="24"/>
          <w:szCs w:val="24"/>
        </w:rPr>
        <w:t xml:space="preserve">je </w:t>
      </w:r>
      <w:r w:rsidR="009520B1" w:rsidRPr="000E1988">
        <w:rPr>
          <w:rFonts w:ascii="Times New Roman" w:hAnsi="Times New Roman" w:cs="Times New Roman"/>
          <w:sz w:val="24"/>
          <w:szCs w:val="24"/>
        </w:rPr>
        <w:t xml:space="preserve">zároveň </w:t>
      </w:r>
      <w:r w:rsidR="00F0533F" w:rsidRPr="000E1988">
        <w:rPr>
          <w:rFonts w:ascii="Times New Roman" w:hAnsi="Times New Roman" w:cs="Times New Roman"/>
          <w:sz w:val="24"/>
          <w:szCs w:val="24"/>
        </w:rPr>
        <w:t xml:space="preserve">doplnená </w:t>
      </w:r>
      <w:r w:rsidR="004E7908" w:rsidRPr="000E1988">
        <w:rPr>
          <w:rFonts w:ascii="Times New Roman" w:hAnsi="Times New Roman" w:cs="Times New Roman"/>
          <w:sz w:val="24"/>
          <w:szCs w:val="24"/>
        </w:rPr>
        <w:t xml:space="preserve">aj </w:t>
      </w:r>
      <w:r w:rsidR="00F0533F" w:rsidRPr="000E198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 údaje za </w:t>
      </w:r>
      <w:r w:rsidR="004E7908" w:rsidRPr="000E1988">
        <w:rPr>
          <w:rFonts w:ascii="Times New Roman" w:hAnsi="Times New Roman" w:cs="Times New Roman"/>
          <w:sz w:val="24"/>
          <w:szCs w:val="24"/>
        </w:rPr>
        <w:t>finančný nástroj (</w:t>
      </w:r>
      <w:r w:rsidR="00A772B4" w:rsidRPr="000E1988">
        <w:rPr>
          <w:rFonts w:ascii="Times New Roman" w:hAnsi="Times New Roman" w:cs="Times New Roman"/>
          <w:sz w:val="24"/>
          <w:szCs w:val="24"/>
        </w:rPr>
        <w:t>ďalej aj „</w:t>
      </w:r>
      <w:r w:rsidR="004E7908" w:rsidRPr="000E1988">
        <w:rPr>
          <w:rFonts w:ascii="Times New Roman" w:hAnsi="Times New Roman" w:cs="Times New Roman"/>
          <w:sz w:val="24"/>
          <w:szCs w:val="24"/>
        </w:rPr>
        <w:t>FN</w:t>
      </w:r>
      <w:r w:rsidR="00A772B4" w:rsidRPr="000E1988">
        <w:rPr>
          <w:rFonts w:ascii="Times New Roman" w:hAnsi="Times New Roman" w:cs="Times New Roman"/>
          <w:sz w:val="24"/>
          <w:szCs w:val="24"/>
        </w:rPr>
        <w:t>“</w:t>
      </w:r>
      <w:r w:rsidR="004E7908" w:rsidRPr="000E198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ktorý predstavuje návratnú formu pomoci</w:t>
      </w:r>
      <w:r w:rsidR="00F0533F" w:rsidRPr="000E198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Zdroje na poskytnutie </w:t>
      </w:r>
      <w:r w:rsidR="00216558">
        <w:rPr>
          <w:rFonts w:ascii="Times New Roman" w:hAnsi="Times New Roman" w:cs="Times New Roman"/>
          <w:sz w:val="24"/>
          <w:szCs w:val="24"/>
        </w:rPr>
        <w:t xml:space="preserve">návratnej formy pomoci prostredníctvom finančného nástroja (Slovak Investment Holding) už boli poskytnuté prijímateľovi – </w:t>
      </w:r>
      <w:r w:rsidR="003206D9">
        <w:rPr>
          <w:rFonts w:ascii="Times New Roman" w:hAnsi="Times New Roman" w:cs="Times New Roman"/>
          <w:sz w:val="24"/>
          <w:szCs w:val="24"/>
        </w:rPr>
        <w:br/>
      </w:r>
      <w:r w:rsidR="00216558">
        <w:rPr>
          <w:rFonts w:ascii="Times New Roman" w:hAnsi="Times New Roman" w:cs="Times New Roman"/>
          <w:sz w:val="24"/>
          <w:szCs w:val="24"/>
        </w:rPr>
        <w:t>SZRB A</w:t>
      </w:r>
      <w:r w:rsidR="003206D9">
        <w:rPr>
          <w:rFonts w:ascii="Times New Roman" w:hAnsi="Times New Roman" w:cs="Times New Roman"/>
          <w:sz w:val="24"/>
          <w:szCs w:val="24"/>
        </w:rPr>
        <w:t xml:space="preserve">sset </w:t>
      </w:r>
      <w:r w:rsidR="00216558">
        <w:rPr>
          <w:rFonts w:ascii="Times New Roman" w:hAnsi="Times New Roman" w:cs="Times New Roman"/>
          <w:sz w:val="24"/>
          <w:szCs w:val="24"/>
        </w:rPr>
        <w:t>M</w:t>
      </w:r>
      <w:r w:rsidR="003206D9">
        <w:rPr>
          <w:rFonts w:ascii="Times New Roman" w:hAnsi="Times New Roman" w:cs="Times New Roman"/>
          <w:sz w:val="24"/>
          <w:szCs w:val="24"/>
        </w:rPr>
        <w:t>anagement, a.s.</w:t>
      </w:r>
      <w:r w:rsidR="00216558">
        <w:rPr>
          <w:rFonts w:ascii="Times New Roman" w:hAnsi="Times New Roman" w:cs="Times New Roman"/>
          <w:sz w:val="24"/>
          <w:szCs w:val="24"/>
        </w:rPr>
        <w:t xml:space="preserve">. </w:t>
      </w:r>
      <w:r w:rsidR="003206D9" w:rsidRPr="000E1988">
        <w:rPr>
          <w:rFonts w:ascii="Times New Roman" w:hAnsi="Times New Roman" w:cs="Times New Roman"/>
          <w:sz w:val="24"/>
          <w:szCs w:val="24"/>
        </w:rPr>
        <w:t xml:space="preserve">Čo sa týka implementácie FN, v druhom kvartáli roku 2017 bude prebiehať príprava verejného obstarávania na ekvitné finančné nástroje na podporu odpadového hospodárstva a obnoviteľných zdrojov energie, ktorých pôvodný výberový proces na finančných sprostredkovateľov bol zastavený. </w:t>
      </w:r>
      <w:r w:rsidR="009520B1" w:rsidRPr="000E1988">
        <w:rPr>
          <w:rFonts w:ascii="Times New Roman" w:hAnsi="Times New Roman" w:cs="Times New Roman"/>
          <w:sz w:val="24"/>
          <w:szCs w:val="24"/>
        </w:rPr>
        <w:t>Preto doteraz</w:t>
      </w:r>
      <w:r w:rsidR="00F0533F" w:rsidRPr="000E1988">
        <w:rPr>
          <w:rFonts w:ascii="Times New Roman" w:hAnsi="Times New Roman" w:cs="Times New Roman"/>
          <w:sz w:val="24"/>
          <w:szCs w:val="24"/>
        </w:rPr>
        <w:t xml:space="preserve"> nebol predložený žiadny projekt a nenastalo </w:t>
      </w:r>
      <w:r w:rsidR="009520B1" w:rsidRPr="000E1988">
        <w:rPr>
          <w:rFonts w:ascii="Times New Roman" w:hAnsi="Times New Roman" w:cs="Times New Roman"/>
          <w:sz w:val="24"/>
          <w:szCs w:val="24"/>
        </w:rPr>
        <w:t xml:space="preserve">ešte reálne </w:t>
      </w:r>
      <w:r w:rsidR="00F0533F" w:rsidRPr="000E1988">
        <w:rPr>
          <w:rFonts w:ascii="Times New Roman" w:hAnsi="Times New Roman" w:cs="Times New Roman"/>
          <w:sz w:val="24"/>
          <w:szCs w:val="24"/>
        </w:rPr>
        <w:t>čerpanie</w:t>
      </w:r>
      <w:r w:rsidR="009520B1" w:rsidRPr="000E1988">
        <w:rPr>
          <w:rFonts w:ascii="Times New Roman" w:hAnsi="Times New Roman" w:cs="Times New Roman"/>
          <w:sz w:val="24"/>
          <w:szCs w:val="24"/>
        </w:rPr>
        <w:t>.</w:t>
      </w:r>
      <w:r w:rsidR="004E7908" w:rsidRPr="000E1988">
        <w:rPr>
          <w:rFonts w:ascii="Times New Roman" w:hAnsi="Times New Roman" w:cs="Times New Roman"/>
          <w:sz w:val="24"/>
          <w:szCs w:val="24"/>
        </w:rPr>
        <w:t xml:space="preserve"> </w:t>
      </w:r>
      <w:r w:rsidR="009520B1" w:rsidRPr="000E1988">
        <w:rPr>
          <w:rFonts w:ascii="Times New Roman" w:hAnsi="Times New Roman" w:cs="Times New Roman"/>
          <w:sz w:val="24"/>
          <w:szCs w:val="24"/>
        </w:rPr>
        <w:t>S</w:t>
      </w:r>
      <w:r w:rsidR="00A772B4" w:rsidRPr="000E1988">
        <w:rPr>
          <w:rFonts w:ascii="Times New Roman" w:hAnsi="Times New Roman" w:cs="Times New Roman"/>
          <w:sz w:val="24"/>
          <w:szCs w:val="24"/>
        </w:rPr>
        <w:t xml:space="preserve">umy </w:t>
      </w:r>
      <w:r w:rsidR="004E7908" w:rsidRPr="000E1988">
        <w:rPr>
          <w:rFonts w:ascii="Times New Roman" w:hAnsi="Times New Roman" w:cs="Times New Roman"/>
          <w:sz w:val="24"/>
          <w:szCs w:val="24"/>
        </w:rPr>
        <w:t>oblast</w:t>
      </w:r>
      <w:r w:rsidR="00A772B4" w:rsidRPr="000E1988">
        <w:rPr>
          <w:rFonts w:ascii="Times New Roman" w:hAnsi="Times New Roman" w:cs="Times New Roman"/>
          <w:sz w:val="24"/>
          <w:szCs w:val="24"/>
        </w:rPr>
        <w:t>í</w:t>
      </w:r>
      <w:r w:rsidR="004E7908" w:rsidRPr="000E1988">
        <w:rPr>
          <w:rFonts w:ascii="Times New Roman" w:hAnsi="Times New Roman" w:cs="Times New Roman"/>
          <w:sz w:val="24"/>
          <w:szCs w:val="24"/>
        </w:rPr>
        <w:t xml:space="preserve"> intervenci</w:t>
      </w:r>
      <w:r w:rsidR="009520B1" w:rsidRPr="000E1988">
        <w:rPr>
          <w:rFonts w:ascii="Times New Roman" w:hAnsi="Times New Roman" w:cs="Times New Roman"/>
          <w:sz w:val="24"/>
          <w:szCs w:val="24"/>
        </w:rPr>
        <w:t>í</w:t>
      </w:r>
      <w:r w:rsidR="004E7908" w:rsidRPr="000E1988">
        <w:rPr>
          <w:rFonts w:ascii="Times New Roman" w:hAnsi="Times New Roman" w:cs="Times New Roman"/>
          <w:sz w:val="24"/>
          <w:szCs w:val="24"/>
        </w:rPr>
        <w:t xml:space="preserve"> pri FN</w:t>
      </w:r>
      <w:r w:rsidR="009520B1" w:rsidRPr="000E1988">
        <w:rPr>
          <w:rFonts w:ascii="Times New Roman" w:hAnsi="Times New Roman" w:cs="Times New Roman"/>
          <w:sz w:val="24"/>
          <w:szCs w:val="24"/>
        </w:rPr>
        <w:t xml:space="preserve"> boli </w:t>
      </w:r>
      <w:r w:rsidR="003206D9">
        <w:rPr>
          <w:rFonts w:ascii="Times New Roman" w:hAnsi="Times New Roman" w:cs="Times New Roman"/>
          <w:sz w:val="24"/>
          <w:szCs w:val="24"/>
        </w:rPr>
        <w:t xml:space="preserve">preto </w:t>
      </w:r>
      <w:r w:rsidR="00A772B4" w:rsidRPr="000E1988">
        <w:rPr>
          <w:rFonts w:ascii="Times New Roman" w:hAnsi="Times New Roman" w:cs="Times New Roman"/>
          <w:sz w:val="24"/>
          <w:szCs w:val="24"/>
        </w:rPr>
        <w:t xml:space="preserve">prepočítané na základe </w:t>
      </w:r>
      <w:r w:rsidR="00F0533F" w:rsidRPr="000E1988">
        <w:rPr>
          <w:rFonts w:ascii="Times New Roman" w:hAnsi="Times New Roman" w:cs="Times New Roman"/>
          <w:sz w:val="24"/>
          <w:szCs w:val="24"/>
        </w:rPr>
        <w:t xml:space="preserve">cieľových hodnôt </w:t>
      </w:r>
      <w:r w:rsidR="00A772B4" w:rsidRPr="000E1988">
        <w:rPr>
          <w:rFonts w:ascii="Times New Roman" w:hAnsi="Times New Roman" w:cs="Times New Roman"/>
          <w:sz w:val="24"/>
          <w:szCs w:val="24"/>
        </w:rPr>
        <w:t>ukazovateľov</w:t>
      </w:r>
      <w:r w:rsidR="00F0533F" w:rsidRPr="000E1988">
        <w:rPr>
          <w:rFonts w:ascii="Times New Roman" w:hAnsi="Times New Roman" w:cs="Times New Roman"/>
          <w:sz w:val="24"/>
          <w:szCs w:val="24"/>
        </w:rPr>
        <w:t xml:space="preserve"> </w:t>
      </w:r>
      <w:r w:rsidR="00CB43DC" w:rsidRPr="000E1988">
        <w:rPr>
          <w:rFonts w:ascii="Times New Roman" w:hAnsi="Times New Roman" w:cs="Times New Roman"/>
          <w:sz w:val="24"/>
          <w:szCs w:val="24"/>
        </w:rPr>
        <w:t>„Z</w:t>
      </w:r>
      <w:r w:rsidR="00F0533F" w:rsidRPr="000E1988">
        <w:rPr>
          <w:rFonts w:ascii="Times New Roman" w:hAnsi="Times New Roman" w:cs="Times New Roman"/>
          <w:sz w:val="24"/>
          <w:szCs w:val="24"/>
        </w:rPr>
        <w:t>výšená kapacita pre triedenie komunálnych odpadov</w:t>
      </w:r>
      <w:r w:rsidR="00CB43DC" w:rsidRPr="000E1988">
        <w:rPr>
          <w:rFonts w:ascii="Times New Roman" w:hAnsi="Times New Roman" w:cs="Times New Roman"/>
          <w:sz w:val="24"/>
          <w:szCs w:val="24"/>
        </w:rPr>
        <w:t>“</w:t>
      </w:r>
      <w:r w:rsidR="00F0533F" w:rsidRPr="000E1988">
        <w:rPr>
          <w:rFonts w:ascii="Times New Roman" w:hAnsi="Times New Roman" w:cs="Times New Roman"/>
          <w:sz w:val="24"/>
          <w:szCs w:val="24"/>
        </w:rPr>
        <w:t xml:space="preserve"> (spadá do oblasti intervencie 017) a </w:t>
      </w:r>
      <w:r w:rsidR="00CB43DC" w:rsidRPr="000E1988">
        <w:rPr>
          <w:rFonts w:ascii="Times New Roman" w:hAnsi="Times New Roman" w:cs="Times New Roman"/>
          <w:sz w:val="24"/>
          <w:szCs w:val="24"/>
        </w:rPr>
        <w:t>„Z</w:t>
      </w:r>
      <w:r w:rsidR="00F0533F" w:rsidRPr="000E1988">
        <w:rPr>
          <w:rFonts w:ascii="Times New Roman" w:hAnsi="Times New Roman" w:cs="Times New Roman"/>
          <w:sz w:val="24"/>
          <w:szCs w:val="24"/>
        </w:rPr>
        <w:t>výšená kapacita pre zhodnocovanie odpadov</w:t>
      </w:r>
      <w:r w:rsidR="00CB43DC" w:rsidRPr="000E1988">
        <w:rPr>
          <w:rFonts w:ascii="Times New Roman" w:hAnsi="Times New Roman" w:cs="Times New Roman"/>
          <w:sz w:val="24"/>
          <w:szCs w:val="24"/>
        </w:rPr>
        <w:t>“</w:t>
      </w:r>
      <w:r w:rsidR="00F0533F" w:rsidRPr="000E1988">
        <w:rPr>
          <w:rFonts w:ascii="Times New Roman" w:hAnsi="Times New Roman" w:cs="Times New Roman"/>
          <w:sz w:val="24"/>
          <w:szCs w:val="24"/>
        </w:rPr>
        <w:t xml:space="preserve"> (spadá do viacerých oblastí intervencie, ale </w:t>
      </w:r>
      <w:r w:rsidR="003206D9">
        <w:rPr>
          <w:rFonts w:ascii="Times New Roman" w:hAnsi="Times New Roman" w:cs="Times New Roman"/>
          <w:sz w:val="24"/>
          <w:szCs w:val="24"/>
        </w:rPr>
        <w:t>možno predpokladať</w:t>
      </w:r>
      <w:r w:rsidR="00F0533F" w:rsidRPr="000E1988">
        <w:rPr>
          <w:rFonts w:ascii="Times New Roman" w:hAnsi="Times New Roman" w:cs="Times New Roman"/>
          <w:sz w:val="24"/>
          <w:szCs w:val="24"/>
        </w:rPr>
        <w:t xml:space="preserve">, že to bude prioritne 019, </w:t>
      </w:r>
      <w:r w:rsidR="003206D9">
        <w:rPr>
          <w:rFonts w:ascii="Times New Roman" w:hAnsi="Times New Roman" w:cs="Times New Roman"/>
          <w:sz w:val="24"/>
          <w:szCs w:val="24"/>
        </w:rPr>
        <w:t>keďže</w:t>
      </w:r>
      <w:r w:rsidR="00F0533F" w:rsidRPr="000E1988">
        <w:rPr>
          <w:rFonts w:ascii="Times New Roman" w:hAnsi="Times New Roman" w:cs="Times New Roman"/>
          <w:sz w:val="24"/>
          <w:szCs w:val="24"/>
        </w:rPr>
        <w:t xml:space="preserve"> FN</w:t>
      </w:r>
      <w:r w:rsidR="003206D9">
        <w:rPr>
          <w:rFonts w:ascii="Times New Roman" w:hAnsi="Times New Roman" w:cs="Times New Roman"/>
          <w:sz w:val="24"/>
          <w:szCs w:val="24"/>
        </w:rPr>
        <w:t xml:space="preserve"> je</w:t>
      </w:r>
      <w:r w:rsidR="00F0533F" w:rsidRPr="000E1988">
        <w:rPr>
          <w:rFonts w:ascii="Times New Roman" w:hAnsi="Times New Roman" w:cs="Times New Roman"/>
          <w:sz w:val="24"/>
          <w:szCs w:val="24"/>
        </w:rPr>
        <w:t xml:space="preserve"> zameraný</w:t>
      </w:r>
      <w:r w:rsidR="003206D9">
        <w:rPr>
          <w:rFonts w:ascii="Times New Roman" w:hAnsi="Times New Roman" w:cs="Times New Roman"/>
          <w:sz w:val="24"/>
          <w:szCs w:val="24"/>
        </w:rPr>
        <w:t xml:space="preserve"> primárne</w:t>
      </w:r>
      <w:r w:rsidR="00F0533F" w:rsidRPr="000E1988">
        <w:rPr>
          <w:rFonts w:ascii="Times New Roman" w:hAnsi="Times New Roman" w:cs="Times New Roman"/>
          <w:sz w:val="24"/>
          <w:szCs w:val="24"/>
        </w:rPr>
        <w:t xml:space="preserve"> na podnikateľskú sféru)</w:t>
      </w:r>
      <w:r w:rsidR="009520B1" w:rsidRPr="000E1988">
        <w:rPr>
          <w:rFonts w:ascii="Times New Roman" w:hAnsi="Times New Roman" w:cs="Times New Roman"/>
          <w:sz w:val="24"/>
          <w:szCs w:val="24"/>
        </w:rPr>
        <w:t xml:space="preserve">, ktoré boli </w:t>
      </w:r>
      <w:r w:rsidR="003206D9">
        <w:rPr>
          <w:rFonts w:ascii="Times New Roman" w:hAnsi="Times New Roman" w:cs="Times New Roman"/>
          <w:sz w:val="24"/>
          <w:szCs w:val="24"/>
        </w:rPr>
        <w:t>stanove</w:t>
      </w:r>
      <w:r w:rsidR="009520B1" w:rsidRPr="000E1988">
        <w:rPr>
          <w:rFonts w:ascii="Times New Roman" w:hAnsi="Times New Roman" w:cs="Times New Roman"/>
          <w:sz w:val="24"/>
          <w:szCs w:val="24"/>
        </w:rPr>
        <w:t xml:space="preserve">né v zmluve medzi RO a SZRB Asset Management a Slovak </w:t>
      </w:r>
      <w:r w:rsidR="003206D9">
        <w:rPr>
          <w:rFonts w:ascii="Times New Roman" w:hAnsi="Times New Roman" w:cs="Times New Roman"/>
          <w:sz w:val="24"/>
          <w:szCs w:val="24"/>
        </w:rPr>
        <w:t xml:space="preserve">Investment </w:t>
      </w:r>
      <w:r w:rsidR="009520B1" w:rsidRPr="000E1988">
        <w:rPr>
          <w:rFonts w:ascii="Times New Roman" w:hAnsi="Times New Roman" w:cs="Times New Roman"/>
          <w:sz w:val="24"/>
          <w:szCs w:val="24"/>
        </w:rPr>
        <w:t>Holding, a.s.</w:t>
      </w:r>
    </w:p>
    <w:p w:rsidR="00E10A9B" w:rsidRPr="00E1273C" w:rsidRDefault="004E7908" w:rsidP="00E1273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273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2A0E" w:rsidRPr="00E1273C">
        <w:rPr>
          <w:rFonts w:ascii="Times New Roman" w:hAnsi="Times New Roman" w:cs="Times New Roman"/>
          <w:i/>
          <w:sz w:val="24"/>
          <w:szCs w:val="24"/>
        </w:rPr>
        <w:t xml:space="preserve">Tabuľka </w:t>
      </w:r>
      <w:r w:rsidR="006D747C" w:rsidRPr="00E1273C">
        <w:rPr>
          <w:rFonts w:ascii="Times New Roman" w:hAnsi="Times New Roman" w:cs="Times New Roman"/>
          <w:i/>
          <w:sz w:val="24"/>
          <w:szCs w:val="24"/>
        </w:rPr>
        <w:t xml:space="preserve">č. </w:t>
      </w:r>
      <w:r w:rsidR="00B22A0E" w:rsidRPr="00E1273C">
        <w:rPr>
          <w:rFonts w:ascii="Times New Roman" w:hAnsi="Times New Roman" w:cs="Times New Roman"/>
          <w:i/>
          <w:sz w:val="24"/>
          <w:szCs w:val="24"/>
        </w:rPr>
        <w:t>2:</w:t>
      </w:r>
      <w:r w:rsidR="00923D37" w:rsidRPr="00E1273C">
        <w:rPr>
          <w:rFonts w:ascii="Times New Roman" w:hAnsi="Times New Roman" w:cs="Times New Roman"/>
          <w:i/>
          <w:sz w:val="24"/>
          <w:szCs w:val="24"/>
        </w:rPr>
        <w:t xml:space="preserve"> Predpokladané rozdelenie alokácie v rámci otvorených výziev a finančného nástroja</w:t>
      </w:r>
      <w:r w:rsidR="002B3F80" w:rsidRPr="00E1273C">
        <w:rPr>
          <w:rFonts w:ascii="Times New Roman" w:hAnsi="Times New Roman" w:cs="Times New Roman"/>
          <w:i/>
          <w:sz w:val="24"/>
          <w:szCs w:val="24"/>
        </w:rPr>
        <w:t xml:space="preserve"> v EUR (EÚ zdroj)</w:t>
      </w:r>
    </w:p>
    <w:tbl>
      <w:tblPr>
        <w:tblW w:w="10815" w:type="dxa"/>
        <w:tblInd w:w="1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0"/>
        <w:gridCol w:w="1531"/>
        <w:gridCol w:w="1260"/>
        <w:gridCol w:w="1448"/>
        <w:gridCol w:w="1417"/>
        <w:gridCol w:w="1373"/>
        <w:gridCol w:w="2106"/>
      </w:tblGrid>
      <w:tr w:rsidR="008F37DF" w:rsidRPr="000E1988" w:rsidTr="00E1273C">
        <w:trPr>
          <w:trHeight w:val="374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vAlign w:val="center"/>
            <w:hideMark/>
          </w:tcPr>
          <w:p w:rsidR="008F37DF" w:rsidRPr="00E1273C" w:rsidRDefault="008F37DF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Oblasť intervencie</w:t>
            </w:r>
          </w:p>
        </w:tc>
        <w:tc>
          <w:tcPr>
            <w:tcW w:w="7029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8F37DF" w:rsidRPr="00E1273C" w:rsidRDefault="00A772B4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Otvorené</w:t>
            </w:r>
            <w:r w:rsidR="008F37DF"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výzv</w:t>
            </w: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y</w:t>
            </w:r>
            <w:r w:rsidR="008F37DF"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,</w:t>
            </w:r>
            <w:r w:rsidR="00C90846"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predpo</w:t>
            </w:r>
            <w:r w:rsidR="008F37DF"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kladané </w:t>
            </w: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rozdelenie </w:t>
            </w:r>
            <w:r w:rsidR="008F37DF"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oblast</w:t>
            </w: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í</w:t>
            </w:r>
            <w:r w:rsidR="008F37DF"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intervencie</w:t>
            </w:r>
          </w:p>
        </w:tc>
        <w:tc>
          <w:tcPr>
            <w:tcW w:w="210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8F37DF" w:rsidRPr="00E1273C" w:rsidRDefault="008F37DF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Potreba prostriedkov na aktuálne vyhlásené výzvy</w:t>
            </w:r>
          </w:p>
        </w:tc>
      </w:tr>
      <w:tr w:rsidR="008F37DF" w:rsidRPr="000E1988" w:rsidTr="00037034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F37DF" w:rsidRPr="000E1988" w:rsidRDefault="008F37DF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Kód 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F37DF" w:rsidRPr="000E1988" w:rsidRDefault="008F37DF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12</w:t>
            </w:r>
            <w:r w:rsidR="006D747C"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. výzva</w:t>
            </w:r>
            <w:r w:rsidR="00176E33"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*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F37DF" w:rsidRPr="000E1988" w:rsidRDefault="008F37DF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15</w:t>
            </w:r>
            <w:r w:rsidR="006D747C"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. výzva</w:t>
            </w:r>
          </w:p>
        </w:tc>
        <w:tc>
          <w:tcPr>
            <w:tcW w:w="144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F37DF" w:rsidRPr="000E1988" w:rsidRDefault="008F37DF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16</w:t>
            </w:r>
            <w:r w:rsidR="006D747C"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. výzva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DE9D9"/>
            <w:noWrap/>
            <w:vAlign w:val="center"/>
            <w:hideMark/>
          </w:tcPr>
          <w:p w:rsidR="008F37DF" w:rsidRPr="000E1988" w:rsidRDefault="008F37DF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23</w:t>
            </w:r>
            <w:r w:rsidR="006D747C"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. výzva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8F37DF" w:rsidRPr="000E1988" w:rsidRDefault="008F37DF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FN</w:t>
            </w:r>
          </w:p>
        </w:tc>
        <w:tc>
          <w:tcPr>
            <w:tcW w:w="210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F37DF" w:rsidRPr="000E1988" w:rsidRDefault="008F37DF" w:rsidP="007E0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EF0770" w:rsidRPr="000E1988" w:rsidTr="00037034">
        <w:trPr>
          <w:trHeight w:val="300"/>
        </w:trPr>
        <w:tc>
          <w:tcPr>
            <w:tcW w:w="16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EF0770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  <w:r w:rsidR="008F37DF"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8F37D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5 328 923   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8F37D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  <w:r w:rsidR="00EF0770"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</w:t>
            </w:r>
          </w:p>
        </w:tc>
        <w:tc>
          <w:tcPr>
            <w:tcW w:w="14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8F37D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50 000 000  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DF" w:rsidRPr="000E1988" w:rsidRDefault="008F37D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5 000 000   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EF0770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</w:t>
            </w:r>
            <w:r w:rsidR="008F37DF"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5 084 868   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8F37D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85 413 791   </w:t>
            </w:r>
          </w:p>
        </w:tc>
      </w:tr>
      <w:tr w:rsidR="00EF0770" w:rsidRPr="000E1988" w:rsidTr="00037034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EF0770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  <w:r w:rsidR="008F37DF"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18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8F37D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5 328 923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8F37D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  <w:r w:rsidR="00EF0770"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EF0770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</w:t>
            </w:r>
            <w:r w:rsidR="008F37DF"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DF" w:rsidRPr="000E1988" w:rsidRDefault="008F37D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8F37D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8F37D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5 328 923   </w:t>
            </w:r>
          </w:p>
        </w:tc>
      </w:tr>
      <w:tr w:rsidR="00EF0770" w:rsidRPr="000E1988" w:rsidTr="00037034">
        <w:trPr>
          <w:trHeight w:val="315"/>
        </w:trPr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EF0770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  <w:r w:rsidR="008F37DF"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19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8F37D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5 328 923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8F37D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40 000 000  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8F37D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50 000 000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DF" w:rsidRPr="000E1988" w:rsidRDefault="008F37D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8F37D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31 926 196   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8F37D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127 255 119   </w:t>
            </w:r>
          </w:p>
        </w:tc>
      </w:tr>
      <w:tr w:rsidR="00EF0770" w:rsidRPr="000E1988" w:rsidTr="00037034">
        <w:trPr>
          <w:trHeight w:val="315"/>
        </w:trPr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8F37DF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Spolu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8F37D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15 986</w:t>
            </w:r>
            <w:r w:rsidR="00176E33" w:rsidRPr="000E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  <w:r w:rsidRPr="000E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769</w:t>
            </w:r>
            <w:r w:rsidR="00176E33" w:rsidRPr="000E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*</w:t>
            </w:r>
            <w:r w:rsidRPr="000E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8F37D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40 000 000   </w:t>
            </w:r>
          </w:p>
        </w:tc>
        <w:tc>
          <w:tcPr>
            <w:tcW w:w="14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8F37D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100 000 000  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DF" w:rsidRPr="000E1988" w:rsidRDefault="008F37D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  <w:r w:rsidR="00EF0770" w:rsidRPr="000E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5 000 000   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8F37DF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57 011 064   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DF" w:rsidRPr="000E1988" w:rsidRDefault="00EF0770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217 997 833   </w:t>
            </w:r>
          </w:p>
        </w:tc>
      </w:tr>
    </w:tbl>
    <w:p w:rsidR="00723F33" w:rsidRPr="00E1273C" w:rsidRDefault="00176E33" w:rsidP="00E1273C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E1273C">
        <w:rPr>
          <w:rFonts w:ascii="Times New Roman" w:hAnsi="Times New Roman" w:cs="Times New Roman"/>
        </w:rPr>
        <w:t>Poznámka: *</w:t>
      </w:r>
      <w:r w:rsidR="00560581">
        <w:rPr>
          <w:rFonts w:ascii="Times New Roman" w:hAnsi="Times New Roman" w:cs="Times New Roman"/>
        </w:rPr>
        <w:t>V</w:t>
      </w:r>
      <w:r w:rsidRPr="00E1273C">
        <w:rPr>
          <w:rFonts w:ascii="Times New Roman" w:hAnsi="Times New Roman" w:cs="Times New Roman"/>
        </w:rPr>
        <w:t>ýzva bola vyhlásená v objeme 16 mil. EUR. V rámci výpočtov sa počíta s výškou požadovaného financovania za Kohézny fond z predložen</w:t>
      </w:r>
      <w:r w:rsidR="0026126C" w:rsidRPr="00E1273C">
        <w:rPr>
          <w:rFonts w:ascii="Times New Roman" w:hAnsi="Times New Roman" w:cs="Times New Roman"/>
        </w:rPr>
        <w:t>ej žiadosti o nenávratný finančný príspevok</w:t>
      </w:r>
      <w:r w:rsidRPr="00E1273C">
        <w:rPr>
          <w:rFonts w:ascii="Times New Roman" w:hAnsi="Times New Roman" w:cs="Times New Roman"/>
        </w:rPr>
        <w:t>.</w:t>
      </w:r>
    </w:p>
    <w:p w:rsidR="00FB0595" w:rsidRPr="005B7457" w:rsidRDefault="00FB0595" w:rsidP="00FB0595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b/>
        </w:rPr>
      </w:pPr>
      <w:r w:rsidRPr="005B7457">
        <w:rPr>
          <w:b/>
        </w:rPr>
        <w:lastRenderedPageBreak/>
        <w:t>Potreby na je</w:t>
      </w:r>
      <w:r>
        <w:rPr>
          <w:b/>
        </w:rPr>
        <w:t>dnotlivé oblasti intervencie v</w:t>
      </w:r>
      <w:r w:rsidR="00182371">
        <w:rPr>
          <w:b/>
        </w:rPr>
        <w:t> súvislosti s cieľmi Slovenskej republiky v oblasti odpadového hospodárstva</w:t>
      </w:r>
    </w:p>
    <w:p w:rsidR="00911172" w:rsidRPr="000E1988" w:rsidRDefault="00911172" w:rsidP="000370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034">
        <w:rPr>
          <w:rFonts w:ascii="Times New Roman" w:hAnsi="Times New Roman" w:cs="Times New Roman"/>
          <w:b/>
          <w:sz w:val="24"/>
          <w:szCs w:val="24"/>
        </w:rPr>
        <w:t>Oblasti intervencie 017 a 018 a im prislúchajúce alokácie finančných prostriedkov sú určené na aktivity v oblasti nakladania s komunálnym</w:t>
      </w:r>
      <w:r>
        <w:rPr>
          <w:rFonts w:ascii="Times New Roman" w:hAnsi="Times New Roman" w:cs="Times New Roman"/>
          <w:sz w:val="24"/>
          <w:szCs w:val="24"/>
        </w:rPr>
        <w:t xml:space="preserve"> (tzv. domovým) </w:t>
      </w:r>
      <w:r w:rsidRPr="00037034">
        <w:rPr>
          <w:rFonts w:ascii="Times New Roman" w:hAnsi="Times New Roman" w:cs="Times New Roman"/>
          <w:b/>
          <w:sz w:val="24"/>
          <w:szCs w:val="24"/>
        </w:rPr>
        <w:t>odpadom.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0212" w:rsidRPr="000E1988" w:rsidRDefault="00CB43DC" w:rsidP="0003703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988">
        <w:rPr>
          <w:rFonts w:ascii="Times New Roman" w:hAnsi="Times New Roman" w:cs="Times New Roman"/>
          <w:sz w:val="24"/>
          <w:szCs w:val="24"/>
        </w:rPr>
        <w:t>Cieľom odpadového hospodárstva v oblasti komunálnych odpadov je do roku 2020 zvýšiť prípravu na opätovné použitie a recykláciu odpadu z domácností ako papier, kov, plasty a sklo a podľa možnosti z iných zdrojov, pokiaľ tieto zdroje obsahujú podobný odpad ako odpad z domácností, najmenej na 50 % podľa hmotnosti. Zároveň, na základe požiadaviek smernice 1999/31/ES o skládkach odpadu</w:t>
      </w:r>
      <w:r w:rsidR="00830212" w:rsidRPr="000E1988">
        <w:rPr>
          <w:rFonts w:ascii="Times New Roman" w:hAnsi="Times New Roman" w:cs="Times New Roman"/>
          <w:sz w:val="24"/>
          <w:szCs w:val="24"/>
        </w:rPr>
        <w:t>,</w:t>
      </w:r>
      <w:r w:rsidRPr="000E1988">
        <w:rPr>
          <w:rFonts w:ascii="Times New Roman" w:hAnsi="Times New Roman" w:cs="Times New Roman"/>
          <w:sz w:val="24"/>
          <w:szCs w:val="24"/>
        </w:rPr>
        <w:t xml:space="preserve"> platí pre biologicky rozložiteľné komunálne odpady cieľ do roku 2020 znížiť množstvo skládkovaných biologicky rozložiteľných komunálnych odpadov na 35 % z celkového množstva (hmotnosti) biologicky rozložiteľných komunálnych odpadov</w:t>
      </w:r>
      <w:r w:rsidR="006D747C" w:rsidRPr="000E1988">
        <w:rPr>
          <w:rFonts w:ascii="Times New Roman" w:hAnsi="Times New Roman" w:cs="Times New Roman"/>
          <w:sz w:val="24"/>
          <w:szCs w:val="24"/>
        </w:rPr>
        <w:t xml:space="preserve"> (ďalej aj „BRKO“)</w:t>
      </w:r>
      <w:r w:rsidRPr="000E1988">
        <w:rPr>
          <w:rFonts w:ascii="Times New Roman" w:hAnsi="Times New Roman" w:cs="Times New Roman"/>
          <w:sz w:val="24"/>
          <w:szCs w:val="24"/>
        </w:rPr>
        <w:t xml:space="preserve"> vzniknutých v roku 1995. Základným predpokladom pre zvýšenie miery prípravy pre opätovné použitie a recyklácie </w:t>
      </w:r>
      <w:r w:rsidR="006D747C" w:rsidRPr="000E1988">
        <w:rPr>
          <w:rFonts w:ascii="Times New Roman" w:hAnsi="Times New Roman" w:cs="Times New Roman"/>
          <w:sz w:val="24"/>
          <w:szCs w:val="24"/>
        </w:rPr>
        <w:t xml:space="preserve">komunálnych </w:t>
      </w:r>
      <w:r w:rsidRPr="000E1988">
        <w:rPr>
          <w:rFonts w:ascii="Times New Roman" w:hAnsi="Times New Roman" w:cs="Times New Roman"/>
          <w:sz w:val="24"/>
          <w:szCs w:val="24"/>
        </w:rPr>
        <w:t>odpadov, resp. zníženie množstva komunálnych odpadov zneškodňovaných skládkovaním je zavedený efektívny systém triedeného zberu komunálnych odpadov</w:t>
      </w:r>
      <w:r w:rsidR="006D747C" w:rsidRPr="000E1988">
        <w:rPr>
          <w:rFonts w:ascii="Times New Roman" w:hAnsi="Times New Roman" w:cs="Times New Roman"/>
          <w:sz w:val="24"/>
          <w:szCs w:val="24"/>
        </w:rPr>
        <w:t>,</w:t>
      </w:r>
      <w:r w:rsidRPr="000E1988">
        <w:rPr>
          <w:rFonts w:ascii="Times New Roman" w:hAnsi="Times New Roman" w:cs="Times New Roman"/>
          <w:sz w:val="24"/>
          <w:szCs w:val="24"/>
        </w:rPr>
        <w:t xml:space="preserve"> na ktorý nadväzujú dostatočné recyklačné kapacity. </w:t>
      </w:r>
    </w:p>
    <w:p w:rsidR="00830212" w:rsidRPr="000E1988" w:rsidRDefault="00CB43DC" w:rsidP="007E0A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988">
        <w:rPr>
          <w:rFonts w:ascii="Times New Roman" w:hAnsi="Times New Roman" w:cs="Times New Roman"/>
          <w:sz w:val="24"/>
          <w:szCs w:val="24"/>
        </w:rPr>
        <w:t xml:space="preserve">Slovenská republika dlhodobo patrí k tým krajinám Európskej únie, ktoré majú vysoký podiel </w:t>
      </w:r>
      <w:r w:rsidR="006F59C2" w:rsidRPr="000E1988">
        <w:rPr>
          <w:rFonts w:ascii="Times New Roman" w:hAnsi="Times New Roman" w:cs="Times New Roman"/>
          <w:sz w:val="24"/>
          <w:szCs w:val="24"/>
        </w:rPr>
        <w:t xml:space="preserve">zneškodňovaného </w:t>
      </w:r>
      <w:r w:rsidRPr="000E1988">
        <w:rPr>
          <w:rFonts w:ascii="Times New Roman" w:hAnsi="Times New Roman" w:cs="Times New Roman"/>
          <w:sz w:val="24"/>
          <w:szCs w:val="24"/>
        </w:rPr>
        <w:t>komunálneho odpadu skládkovaní</w:t>
      </w:r>
      <w:r w:rsidR="006D747C" w:rsidRPr="000E1988">
        <w:rPr>
          <w:rFonts w:ascii="Times New Roman" w:hAnsi="Times New Roman" w:cs="Times New Roman"/>
          <w:sz w:val="24"/>
          <w:szCs w:val="24"/>
        </w:rPr>
        <w:t>m</w:t>
      </w:r>
      <w:r w:rsidRPr="000E1988">
        <w:rPr>
          <w:rFonts w:ascii="Times New Roman" w:hAnsi="Times New Roman" w:cs="Times New Roman"/>
          <w:sz w:val="24"/>
          <w:szCs w:val="24"/>
        </w:rPr>
        <w:t xml:space="preserve">. </w:t>
      </w:r>
      <w:r w:rsidR="006D747C" w:rsidRPr="000E1988">
        <w:rPr>
          <w:rFonts w:ascii="Times New Roman" w:hAnsi="Times New Roman" w:cs="Times New Roman"/>
          <w:sz w:val="24"/>
          <w:szCs w:val="24"/>
        </w:rPr>
        <w:t>Aj</w:t>
      </w:r>
      <w:r w:rsidRPr="000E1988">
        <w:rPr>
          <w:rFonts w:ascii="Times New Roman" w:hAnsi="Times New Roman" w:cs="Times New Roman"/>
          <w:sz w:val="24"/>
          <w:szCs w:val="24"/>
        </w:rPr>
        <w:t> keď v rámci podpory triedeného zberu komunálnych odpadov nie je možné žiadať finančné prostriedky na nákup zberných nádob a</w:t>
      </w:r>
      <w:r w:rsidR="006D747C" w:rsidRPr="000E1988">
        <w:rPr>
          <w:rFonts w:ascii="Times New Roman" w:hAnsi="Times New Roman" w:cs="Times New Roman"/>
          <w:sz w:val="24"/>
          <w:szCs w:val="24"/>
        </w:rPr>
        <w:t xml:space="preserve"> zberových </w:t>
      </w:r>
      <w:r w:rsidRPr="000E1988">
        <w:rPr>
          <w:rFonts w:ascii="Times New Roman" w:hAnsi="Times New Roman" w:cs="Times New Roman"/>
          <w:sz w:val="24"/>
          <w:szCs w:val="24"/>
        </w:rPr>
        <w:t>vozidiel pre tie zložky komunálnych odpadov</w:t>
      </w:r>
      <w:r w:rsidR="00417984" w:rsidRPr="000E1988">
        <w:rPr>
          <w:rFonts w:ascii="Times New Roman" w:hAnsi="Times New Roman" w:cs="Times New Roman"/>
          <w:sz w:val="24"/>
          <w:szCs w:val="24"/>
        </w:rPr>
        <w:t>,</w:t>
      </w:r>
      <w:r w:rsidRPr="000E1988">
        <w:rPr>
          <w:rFonts w:ascii="Times New Roman" w:hAnsi="Times New Roman" w:cs="Times New Roman"/>
          <w:sz w:val="24"/>
          <w:szCs w:val="24"/>
        </w:rPr>
        <w:t xml:space="preserve"> na ktoré sa vzťahuje rozšírená zodpovednosť výrobcov, podpora budovania zberných dvorov a triedenia komunálnych odpadov výraznou mierov prispieva k zníženiu množstva skládkovaných odpadov, čím sa šetria prírodné zdroje a predchádza sa znečisťovaniu životného prostredia. Významný problém pre obce predstavuje nakladanie s </w:t>
      </w:r>
      <w:r w:rsidR="009520B1" w:rsidRPr="000E1988">
        <w:rPr>
          <w:rFonts w:ascii="Times New Roman" w:hAnsi="Times New Roman" w:cs="Times New Roman"/>
          <w:sz w:val="24"/>
          <w:szCs w:val="24"/>
        </w:rPr>
        <w:t>BRKO</w:t>
      </w:r>
      <w:r w:rsidRPr="000E1988">
        <w:rPr>
          <w:rFonts w:ascii="Times New Roman" w:hAnsi="Times New Roman" w:cs="Times New Roman"/>
          <w:sz w:val="24"/>
          <w:szCs w:val="24"/>
        </w:rPr>
        <w:t>.</w:t>
      </w:r>
      <w:r w:rsidR="00BC2C88" w:rsidRPr="00BC2C88">
        <w:t xml:space="preserve"> </w:t>
      </w:r>
      <w:r w:rsidR="00BC2C88" w:rsidRPr="00BC2C88">
        <w:rPr>
          <w:rFonts w:ascii="Times New Roman" w:hAnsi="Times New Roman" w:cs="Times New Roman"/>
          <w:sz w:val="24"/>
          <w:szCs w:val="24"/>
        </w:rPr>
        <w:t>Podpora budovania zberných dvorov, v ktorých občania môžu odovzdať vytriedené zložky komunálnych odpadov, znižuje riziko tvorby čiernych skládok a prispieva k zvýšeniu recyklácie vytriedených zložiek komunálnych odpadov.</w:t>
      </w:r>
      <w:r w:rsidRPr="000E19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0212" w:rsidRDefault="009520B1" w:rsidP="00086A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988">
        <w:rPr>
          <w:rFonts w:ascii="Times New Roman" w:hAnsi="Times New Roman" w:cs="Times New Roman"/>
          <w:sz w:val="24"/>
          <w:szCs w:val="24"/>
        </w:rPr>
        <w:t>OP KŽP</w:t>
      </w:r>
      <w:r w:rsidR="00CB43DC" w:rsidRPr="000E1988">
        <w:rPr>
          <w:rFonts w:ascii="Times New Roman" w:hAnsi="Times New Roman" w:cs="Times New Roman"/>
          <w:sz w:val="24"/>
          <w:szCs w:val="24"/>
        </w:rPr>
        <w:t xml:space="preserve"> je preto zameraný aj na podporu triedenia a zhodnocovania BRKO. V zmysle hierarchie odpadového hospodárstva Ministerstvo životného prostredia SR prispieva k predchádzaniu vzniku BRKO podporou nák</w:t>
      </w:r>
      <w:r w:rsidR="00830212" w:rsidRPr="000E1988">
        <w:rPr>
          <w:rFonts w:ascii="Times New Roman" w:hAnsi="Times New Roman" w:cs="Times New Roman"/>
          <w:sz w:val="24"/>
          <w:szCs w:val="24"/>
        </w:rPr>
        <w:t xml:space="preserve">upu kompostérov pre domácnosti. </w:t>
      </w:r>
      <w:r w:rsidR="00CB43DC" w:rsidRPr="000E1988">
        <w:rPr>
          <w:rFonts w:ascii="Times New Roman" w:hAnsi="Times New Roman" w:cs="Times New Roman"/>
          <w:sz w:val="24"/>
          <w:szCs w:val="24"/>
        </w:rPr>
        <w:t xml:space="preserve">Ministerstvo životného prostredia SR v snahe zabezpečiť plnenie požiadaviek právnych predpisov EÚ a SR v oblasti odpadového hospodárstva naplánovalo </w:t>
      </w:r>
      <w:r w:rsidRPr="000E1988">
        <w:rPr>
          <w:rFonts w:ascii="Times New Roman" w:hAnsi="Times New Roman" w:cs="Times New Roman"/>
          <w:sz w:val="24"/>
          <w:szCs w:val="24"/>
        </w:rPr>
        <w:t xml:space="preserve">v roku 2017 </w:t>
      </w:r>
      <w:r w:rsidR="00830212" w:rsidRPr="000E1988">
        <w:rPr>
          <w:rFonts w:ascii="Times New Roman" w:hAnsi="Times New Roman" w:cs="Times New Roman"/>
          <w:sz w:val="24"/>
          <w:szCs w:val="24"/>
        </w:rPr>
        <w:t xml:space="preserve">vyhlásenie </w:t>
      </w:r>
      <w:r w:rsidR="00CB43DC" w:rsidRPr="000E1988">
        <w:rPr>
          <w:rFonts w:ascii="Times New Roman" w:hAnsi="Times New Roman" w:cs="Times New Roman"/>
          <w:sz w:val="24"/>
          <w:szCs w:val="24"/>
        </w:rPr>
        <w:t>p</w:t>
      </w:r>
      <w:r w:rsidR="00830212" w:rsidRPr="000E1988">
        <w:rPr>
          <w:rFonts w:ascii="Times New Roman" w:hAnsi="Times New Roman" w:cs="Times New Roman"/>
          <w:sz w:val="24"/>
          <w:szCs w:val="24"/>
        </w:rPr>
        <w:t>iatich</w:t>
      </w:r>
      <w:r w:rsidR="00CB43DC" w:rsidRPr="000E1988">
        <w:rPr>
          <w:rFonts w:ascii="Times New Roman" w:hAnsi="Times New Roman" w:cs="Times New Roman"/>
          <w:sz w:val="24"/>
          <w:szCs w:val="24"/>
        </w:rPr>
        <w:t xml:space="preserve"> výziev so zameraním na predchádzanie vzniku BRKO, podporu triedeného zberu komunálnych odpadov a zhodnocovania biologicky rozložiteľných odpadov.</w:t>
      </w:r>
    </w:p>
    <w:p w:rsidR="002149EB" w:rsidRPr="000E1988" w:rsidRDefault="002149EB" w:rsidP="00086A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2371" w:rsidRPr="005B7457" w:rsidRDefault="00182371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b/>
        </w:rPr>
      </w:pPr>
      <w:r w:rsidRPr="005B7457">
        <w:rPr>
          <w:b/>
        </w:rPr>
        <w:t>Potreby na je</w:t>
      </w:r>
      <w:r>
        <w:rPr>
          <w:b/>
        </w:rPr>
        <w:t xml:space="preserve">dnotlivé oblasti intervencie v rámci plánovaných výziev na dosiahnutie stanovených cieľov  </w:t>
      </w:r>
    </w:p>
    <w:p w:rsidR="00830212" w:rsidRPr="000E1988" w:rsidRDefault="00CB43DC" w:rsidP="00E1273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6A83">
        <w:rPr>
          <w:rFonts w:ascii="Times New Roman" w:hAnsi="Times New Roman" w:cs="Times New Roman"/>
          <w:b/>
          <w:sz w:val="24"/>
          <w:szCs w:val="24"/>
        </w:rPr>
        <w:t>Na podporu podnikateľov, predovšetkým zberových spoločností, ktoré realizujú triedený zber komunáln</w:t>
      </w:r>
      <w:r w:rsidR="004D1603" w:rsidRPr="00086A83">
        <w:rPr>
          <w:rFonts w:ascii="Times New Roman" w:hAnsi="Times New Roman" w:cs="Times New Roman"/>
          <w:b/>
          <w:sz w:val="24"/>
          <w:szCs w:val="24"/>
        </w:rPr>
        <w:t>ych odpadov</w:t>
      </w:r>
      <w:r w:rsidR="004D1603" w:rsidRPr="000E1988">
        <w:rPr>
          <w:rFonts w:ascii="Times New Roman" w:hAnsi="Times New Roman" w:cs="Times New Roman"/>
          <w:sz w:val="24"/>
          <w:szCs w:val="24"/>
        </w:rPr>
        <w:t>, bude zameraná výzva</w:t>
      </w:r>
      <w:r w:rsidRPr="000E1988">
        <w:rPr>
          <w:rFonts w:ascii="Times New Roman" w:hAnsi="Times New Roman" w:cs="Times New Roman"/>
          <w:sz w:val="24"/>
          <w:szCs w:val="24"/>
        </w:rPr>
        <w:t xml:space="preserve"> s indikatívnou výškou finančných prostriedkov 10 mil. EUR</w:t>
      </w:r>
      <w:r w:rsidR="004D1603" w:rsidRPr="000E1988">
        <w:rPr>
          <w:rFonts w:ascii="Times New Roman" w:hAnsi="Times New Roman" w:cs="Times New Roman"/>
          <w:sz w:val="24"/>
          <w:szCs w:val="24"/>
        </w:rPr>
        <w:t xml:space="preserve">, </w:t>
      </w:r>
      <w:r w:rsidR="004D1603" w:rsidRPr="00086A83">
        <w:rPr>
          <w:rFonts w:ascii="Times New Roman" w:hAnsi="Times New Roman" w:cs="Times New Roman"/>
          <w:b/>
          <w:sz w:val="24"/>
          <w:szCs w:val="24"/>
        </w:rPr>
        <w:t xml:space="preserve">v tabuľke č. 3 uvedená pod písmenom </w:t>
      </w:r>
      <w:r w:rsidR="006F59C2" w:rsidRPr="00086A83">
        <w:rPr>
          <w:rFonts w:ascii="Times New Roman" w:hAnsi="Times New Roman" w:cs="Times New Roman"/>
          <w:b/>
          <w:sz w:val="24"/>
          <w:szCs w:val="24"/>
        </w:rPr>
        <w:t>A</w:t>
      </w:r>
      <w:r w:rsidRPr="000E1988">
        <w:rPr>
          <w:rFonts w:ascii="Times New Roman" w:hAnsi="Times New Roman" w:cs="Times New Roman"/>
          <w:sz w:val="24"/>
          <w:szCs w:val="24"/>
        </w:rPr>
        <w:t xml:space="preserve">. Táto výzva svojím zameraním spadá do oblasti intervencie 017. </w:t>
      </w:r>
    </w:p>
    <w:p w:rsidR="00830212" w:rsidRPr="000E1988" w:rsidRDefault="00B834D7" w:rsidP="00E1273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988">
        <w:rPr>
          <w:rFonts w:ascii="Times New Roman" w:hAnsi="Times New Roman" w:cs="Times New Roman"/>
          <w:sz w:val="24"/>
          <w:szCs w:val="24"/>
        </w:rPr>
        <w:t>MŽP SR</w:t>
      </w:r>
      <w:r w:rsidR="00CB43DC" w:rsidRPr="000E1988">
        <w:rPr>
          <w:rFonts w:ascii="Times New Roman" w:hAnsi="Times New Roman" w:cs="Times New Roman"/>
          <w:sz w:val="24"/>
          <w:szCs w:val="24"/>
        </w:rPr>
        <w:t xml:space="preserve"> </w:t>
      </w:r>
      <w:r w:rsidR="00EF1178" w:rsidRPr="000E1988">
        <w:rPr>
          <w:rFonts w:ascii="Times New Roman" w:hAnsi="Times New Roman" w:cs="Times New Roman"/>
          <w:sz w:val="24"/>
          <w:szCs w:val="24"/>
        </w:rPr>
        <w:t xml:space="preserve">ďalej </w:t>
      </w:r>
      <w:r w:rsidR="00CB43DC" w:rsidRPr="000E1988">
        <w:rPr>
          <w:rFonts w:ascii="Times New Roman" w:hAnsi="Times New Roman" w:cs="Times New Roman"/>
          <w:sz w:val="24"/>
          <w:szCs w:val="24"/>
        </w:rPr>
        <w:t xml:space="preserve">plánuje, zatiaľ ako jediný riadiaci orgán, zverejniť </w:t>
      </w:r>
      <w:r w:rsidR="00CB43DC" w:rsidRPr="00086A83">
        <w:rPr>
          <w:rFonts w:ascii="Times New Roman" w:hAnsi="Times New Roman" w:cs="Times New Roman"/>
          <w:b/>
          <w:sz w:val="24"/>
          <w:szCs w:val="24"/>
        </w:rPr>
        <w:t>výzvu zameranú na podporu najmenej rozvinutých okresov</w:t>
      </w:r>
      <w:r w:rsidR="00CB43DC" w:rsidRPr="000E1988">
        <w:rPr>
          <w:rFonts w:ascii="Times New Roman" w:hAnsi="Times New Roman" w:cs="Times New Roman"/>
          <w:sz w:val="24"/>
          <w:szCs w:val="24"/>
        </w:rPr>
        <w:t xml:space="preserve">. Predmetom podpory budú projekty zamerané na zefektívňovanie triedeného zberu a zhodnocovania BRKO, ktoré sú uvedené vo vládou SR </w:t>
      </w:r>
      <w:r w:rsidR="00CB43DC" w:rsidRPr="000E1988">
        <w:rPr>
          <w:rFonts w:ascii="Times New Roman" w:hAnsi="Times New Roman" w:cs="Times New Roman"/>
          <w:sz w:val="24"/>
          <w:szCs w:val="24"/>
        </w:rPr>
        <w:lastRenderedPageBreak/>
        <w:t>schválených akčných plánoch najmenej rozvinutých okresov</w:t>
      </w:r>
      <w:r w:rsidR="00830212" w:rsidRPr="000E1988">
        <w:rPr>
          <w:rFonts w:ascii="Times New Roman" w:hAnsi="Times New Roman" w:cs="Times New Roman"/>
          <w:sz w:val="24"/>
          <w:szCs w:val="24"/>
        </w:rPr>
        <w:t xml:space="preserve"> (ďalej aj „NRO“)</w:t>
      </w:r>
      <w:r w:rsidR="00CB43DC" w:rsidRPr="000E1988">
        <w:rPr>
          <w:rFonts w:ascii="Times New Roman" w:hAnsi="Times New Roman" w:cs="Times New Roman"/>
          <w:sz w:val="24"/>
          <w:szCs w:val="24"/>
        </w:rPr>
        <w:t xml:space="preserve">. Na základe projektových zámerov uvedených v akčných plánoch môžeme predpokladať, že oprávnení prijímatelia pripravujú projekty zamerané </w:t>
      </w:r>
      <w:r w:rsidR="006F59C2" w:rsidRPr="000E1988">
        <w:rPr>
          <w:rFonts w:ascii="Times New Roman" w:hAnsi="Times New Roman" w:cs="Times New Roman"/>
          <w:sz w:val="24"/>
          <w:szCs w:val="24"/>
        </w:rPr>
        <w:t xml:space="preserve">aj </w:t>
      </w:r>
      <w:r w:rsidR="00CB43DC" w:rsidRPr="000E1988">
        <w:rPr>
          <w:rFonts w:ascii="Times New Roman" w:hAnsi="Times New Roman" w:cs="Times New Roman"/>
          <w:sz w:val="24"/>
          <w:szCs w:val="24"/>
        </w:rPr>
        <w:t xml:space="preserve">na mechanicko-biologickú úpravu zmesového komunálneho odpadu. Predpokladaná suma pripravovaných projektov je vo výške 6,97 mil. EUR. Indikatívna </w:t>
      </w:r>
      <w:r w:rsidR="006F59C2" w:rsidRPr="000E1988">
        <w:rPr>
          <w:rFonts w:ascii="Times New Roman" w:hAnsi="Times New Roman" w:cs="Times New Roman"/>
          <w:sz w:val="24"/>
          <w:szCs w:val="24"/>
        </w:rPr>
        <w:t xml:space="preserve">výška </w:t>
      </w:r>
      <w:r w:rsidR="00CB43DC" w:rsidRPr="000E1988">
        <w:rPr>
          <w:rFonts w:ascii="Times New Roman" w:hAnsi="Times New Roman" w:cs="Times New Roman"/>
          <w:sz w:val="24"/>
          <w:szCs w:val="24"/>
        </w:rPr>
        <w:t>finančných prostriedkov vyčlenených na výzvu predstavuje sumu 25 mil. EUR</w:t>
      </w:r>
      <w:r w:rsidR="004D1603" w:rsidRPr="000E1988">
        <w:rPr>
          <w:rFonts w:ascii="Times New Roman" w:hAnsi="Times New Roman" w:cs="Times New Roman"/>
          <w:sz w:val="24"/>
          <w:szCs w:val="24"/>
        </w:rPr>
        <w:t xml:space="preserve"> a jej rozdelenie podľa oblastí intervencii je uvedené </w:t>
      </w:r>
      <w:r w:rsidR="004D1603" w:rsidRPr="00E1273C">
        <w:rPr>
          <w:rFonts w:ascii="Times New Roman" w:hAnsi="Times New Roman" w:cs="Times New Roman"/>
          <w:b/>
          <w:i/>
          <w:sz w:val="24"/>
          <w:szCs w:val="24"/>
        </w:rPr>
        <w:t xml:space="preserve">v tabuľke č. 3 v stĺpci </w:t>
      </w:r>
      <w:r w:rsidR="00830212" w:rsidRPr="00E1273C">
        <w:rPr>
          <w:rFonts w:ascii="Times New Roman" w:hAnsi="Times New Roman" w:cs="Times New Roman"/>
          <w:b/>
          <w:i/>
          <w:sz w:val="24"/>
          <w:szCs w:val="24"/>
        </w:rPr>
        <w:t>B</w:t>
      </w:r>
      <w:r w:rsidR="00CB43DC" w:rsidRPr="00E1273C">
        <w:rPr>
          <w:rFonts w:ascii="Times New Roman" w:hAnsi="Times New Roman" w:cs="Times New Roman"/>
          <w:i/>
          <w:sz w:val="24"/>
          <w:szCs w:val="24"/>
        </w:rPr>
        <w:t>.</w:t>
      </w:r>
      <w:r w:rsidR="00CB43DC" w:rsidRPr="000E19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0212" w:rsidRPr="000E1988" w:rsidRDefault="00CB43DC" w:rsidP="00E1273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988">
        <w:rPr>
          <w:rFonts w:ascii="Times New Roman" w:hAnsi="Times New Roman" w:cs="Times New Roman"/>
          <w:sz w:val="24"/>
          <w:szCs w:val="24"/>
        </w:rPr>
        <w:t>Výzvy zamerané na riešenie problematiky triedeného zberu a zhodnocovania komunálnych odpadov, v rámci ktorých sú oprávnení prijímatelia mestá, obce prípadne ich združenia, patria medzi výzvy s najväčším záujmom o získanie finančného príspevku</w:t>
      </w:r>
      <w:r w:rsidR="00830212" w:rsidRPr="000E1988">
        <w:rPr>
          <w:rFonts w:ascii="Times New Roman" w:hAnsi="Times New Roman" w:cs="Times New Roman"/>
          <w:sz w:val="24"/>
          <w:szCs w:val="24"/>
        </w:rPr>
        <w:t>,</w:t>
      </w:r>
      <w:r w:rsidRPr="000E1988">
        <w:rPr>
          <w:rFonts w:ascii="Times New Roman" w:hAnsi="Times New Roman" w:cs="Times New Roman"/>
          <w:sz w:val="24"/>
          <w:szCs w:val="24"/>
        </w:rPr>
        <w:t xml:space="preserve"> a teda sú to výzvy s najväčšou absorpčnou schopnosťou. V rámci výzvy č. 10 bolo predložených 204 projektov pričom schválených mohlo byť len 117 a v rámci výzvy č. 11 bolo predložených 131 a schválených 51 projektov. Preto okrem podpory najmenej rozvinutých regiónov plánuje ministerstvo zverejniť takto zameranú </w:t>
      </w:r>
      <w:r w:rsidRPr="00086A83">
        <w:rPr>
          <w:rFonts w:ascii="Times New Roman" w:hAnsi="Times New Roman" w:cs="Times New Roman"/>
          <w:b/>
          <w:sz w:val="24"/>
          <w:szCs w:val="24"/>
        </w:rPr>
        <w:t>výzvu aj pre okresy, ktoré nespadajú do kategórie najmenej rozvinutých okresov</w:t>
      </w:r>
      <w:r w:rsidRPr="000E1988">
        <w:rPr>
          <w:rFonts w:ascii="Times New Roman" w:hAnsi="Times New Roman" w:cs="Times New Roman"/>
          <w:sz w:val="24"/>
          <w:szCs w:val="24"/>
        </w:rPr>
        <w:t>. Indikatívna výška finančných prostriedkov alokovaných na výzvu je 25 mil. EUR</w:t>
      </w:r>
      <w:r w:rsidR="004D1603" w:rsidRPr="000E1988">
        <w:rPr>
          <w:rFonts w:ascii="Times New Roman" w:hAnsi="Times New Roman" w:cs="Times New Roman"/>
          <w:sz w:val="24"/>
          <w:szCs w:val="24"/>
        </w:rPr>
        <w:t xml:space="preserve">. Výzva je uvedená </w:t>
      </w:r>
      <w:r w:rsidR="004D1603" w:rsidRPr="00E1273C">
        <w:rPr>
          <w:rFonts w:ascii="Times New Roman" w:hAnsi="Times New Roman" w:cs="Times New Roman"/>
          <w:b/>
          <w:i/>
          <w:sz w:val="24"/>
          <w:szCs w:val="24"/>
        </w:rPr>
        <w:t xml:space="preserve">v tabuľke č. 3 </w:t>
      </w:r>
      <w:r w:rsidR="00B834D7" w:rsidRPr="00E1273C">
        <w:rPr>
          <w:rFonts w:ascii="Times New Roman" w:hAnsi="Times New Roman" w:cs="Times New Roman"/>
          <w:b/>
          <w:i/>
          <w:sz w:val="24"/>
          <w:szCs w:val="24"/>
        </w:rPr>
        <w:t xml:space="preserve">v </w:t>
      </w:r>
      <w:r w:rsidR="004D1603" w:rsidRPr="00E1273C">
        <w:rPr>
          <w:rFonts w:ascii="Times New Roman" w:hAnsi="Times New Roman" w:cs="Times New Roman"/>
          <w:b/>
          <w:i/>
          <w:sz w:val="24"/>
          <w:szCs w:val="24"/>
        </w:rPr>
        <w:t>stĺpc</w:t>
      </w:r>
      <w:r w:rsidR="00B834D7" w:rsidRPr="00E1273C">
        <w:rPr>
          <w:rFonts w:ascii="Times New Roman" w:hAnsi="Times New Roman" w:cs="Times New Roman"/>
          <w:b/>
          <w:i/>
          <w:sz w:val="24"/>
          <w:szCs w:val="24"/>
        </w:rPr>
        <w:t>i</w:t>
      </w:r>
      <w:r w:rsidR="004D1603" w:rsidRPr="00E1273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30212" w:rsidRPr="00E1273C">
        <w:rPr>
          <w:rFonts w:ascii="Times New Roman" w:hAnsi="Times New Roman" w:cs="Times New Roman"/>
          <w:b/>
          <w:i/>
          <w:sz w:val="24"/>
          <w:szCs w:val="24"/>
        </w:rPr>
        <w:t>C</w:t>
      </w:r>
      <w:r w:rsidR="004D1603" w:rsidRPr="00E1273C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0E19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0212" w:rsidRPr="000E1988" w:rsidRDefault="00CB43DC" w:rsidP="00E1273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988">
        <w:rPr>
          <w:rFonts w:ascii="Times New Roman" w:hAnsi="Times New Roman" w:cs="Times New Roman"/>
          <w:sz w:val="24"/>
          <w:szCs w:val="24"/>
        </w:rPr>
        <w:t xml:space="preserve">S cieľom zvýšiť množstvo zhodnocovaných biologicky rozložiteľných odpadov a podporiť alternatívne formy výroby tepla </w:t>
      </w:r>
      <w:r w:rsidR="00B834D7" w:rsidRPr="000E1988">
        <w:rPr>
          <w:rFonts w:ascii="Times New Roman" w:hAnsi="Times New Roman" w:cs="Times New Roman"/>
          <w:sz w:val="24"/>
          <w:szCs w:val="24"/>
        </w:rPr>
        <w:t>a</w:t>
      </w:r>
      <w:r w:rsidRPr="000E1988">
        <w:rPr>
          <w:rFonts w:ascii="Times New Roman" w:hAnsi="Times New Roman" w:cs="Times New Roman"/>
          <w:sz w:val="24"/>
          <w:szCs w:val="24"/>
        </w:rPr>
        <w:t xml:space="preserve"> elektrickej energie </w:t>
      </w:r>
      <w:r w:rsidR="00B834D7" w:rsidRPr="000E1988">
        <w:rPr>
          <w:rFonts w:ascii="Times New Roman" w:hAnsi="Times New Roman" w:cs="Times New Roman"/>
          <w:sz w:val="24"/>
          <w:szCs w:val="24"/>
        </w:rPr>
        <w:t>MŽP SR</w:t>
      </w:r>
      <w:r w:rsidRPr="000E1988">
        <w:rPr>
          <w:rFonts w:ascii="Times New Roman" w:hAnsi="Times New Roman" w:cs="Times New Roman"/>
          <w:sz w:val="24"/>
          <w:szCs w:val="24"/>
        </w:rPr>
        <w:t xml:space="preserve"> pripravuje </w:t>
      </w:r>
      <w:r w:rsidRPr="00086A83">
        <w:rPr>
          <w:rFonts w:ascii="Times New Roman" w:hAnsi="Times New Roman" w:cs="Times New Roman"/>
          <w:b/>
          <w:sz w:val="24"/>
          <w:szCs w:val="24"/>
        </w:rPr>
        <w:t>výzvu zameranú na rekonštrukciu a vybudovanie bioplynových staníc</w:t>
      </w:r>
      <w:r w:rsidR="002149EB">
        <w:rPr>
          <w:rFonts w:ascii="Times New Roman" w:hAnsi="Times New Roman" w:cs="Times New Roman"/>
          <w:b/>
          <w:sz w:val="24"/>
          <w:szCs w:val="24"/>
        </w:rPr>
        <w:t xml:space="preserve"> na báze </w:t>
      </w:r>
      <w:r w:rsidR="004E02BF">
        <w:rPr>
          <w:rFonts w:ascii="Times New Roman" w:hAnsi="Times New Roman" w:cs="Times New Roman"/>
          <w:b/>
          <w:sz w:val="24"/>
          <w:szCs w:val="24"/>
        </w:rPr>
        <w:t xml:space="preserve">biologicky rozložiteľného </w:t>
      </w:r>
      <w:r w:rsidR="002149EB">
        <w:rPr>
          <w:rFonts w:ascii="Times New Roman" w:hAnsi="Times New Roman" w:cs="Times New Roman"/>
          <w:b/>
          <w:sz w:val="24"/>
          <w:szCs w:val="24"/>
        </w:rPr>
        <w:t>odpadu</w:t>
      </w:r>
      <w:r w:rsidRPr="000E1988">
        <w:rPr>
          <w:rFonts w:ascii="Times New Roman" w:hAnsi="Times New Roman" w:cs="Times New Roman"/>
          <w:sz w:val="24"/>
          <w:szCs w:val="24"/>
        </w:rPr>
        <w:t>. Indikatívna alokácia na výzvu predstavuje sumu 10 mil. EUR.</w:t>
      </w:r>
      <w:r w:rsidR="004D1603" w:rsidRPr="000E1988">
        <w:rPr>
          <w:rFonts w:ascii="Times New Roman" w:hAnsi="Times New Roman" w:cs="Times New Roman"/>
          <w:sz w:val="24"/>
          <w:szCs w:val="24"/>
        </w:rPr>
        <w:t xml:space="preserve"> Výzva je uvedená </w:t>
      </w:r>
      <w:r w:rsidR="004D1603" w:rsidRPr="00E1273C">
        <w:rPr>
          <w:rFonts w:ascii="Times New Roman" w:hAnsi="Times New Roman" w:cs="Times New Roman"/>
          <w:b/>
          <w:i/>
          <w:sz w:val="24"/>
          <w:szCs w:val="24"/>
        </w:rPr>
        <w:t>v tabuľke č.</w:t>
      </w:r>
      <w:r w:rsidR="002149EB" w:rsidRPr="00E1273C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4E02BF" w:rsidRPr="00E1273C">
        <w:rPr>
          <w:rFonts w:ascii="Times New Roman" w:hAnsi="Times New Roman" w:cs="Times New Roman"/>
          <w:b/>
          <w:i/>
          <w:sz w:val="24"/>
          <w:szCs w:val="24"/>
        </w:rPr>
        <w:t xml:space="preserve">3 </w:t>
      </w:r>
      <w:r w:rsidR="004D1603" w:rsidRPr="00E1273C">
        <w:rPr>
          <w:rFonts w:ascii="Times New Roman" w:hAnsi="Times New Roman" w:cs="Times New Roman"/>
          <w:b/>
          <w:i/>
          <w:sz w:val="24"/>
          <w:szCs w:val="24"/>
        </w:rPr>
        <w:t>v stĺpci D</w:t>
      </w:r>
      <w:r w:rsidR="004D1603" w:rsidRPr="00E1273C">
        <w:rPr>
          <w:rFonts w:ascii="Times New Roman" w:hAnsi="Times New Roman" w:cs="Times New Roman"/>
          <w:i/>
          <w:sz w:val="24"/>
          <w:szCs w:val="24"/>
        </w:rPr>
        <w:t>.</w:t>
      </w:r>
      <w:r w:rsidR="00566728" w:rsidRPr="000E19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2A1C" w:rsidRDefault="00566728" w:rsidP="00E1273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73C">
        <w:rPr>
          <w:rFonts w:ascii="Times New Roman" w:hAnsi="Times New Roman" w:cs="Times New Roman"/>
          <w:b/>
          <w:i/>
          <w:sz w:val="24"/>
          <w:szCs w:val="24"/>
        </w:rPr>
        <w:t>V</w:t>
      </w:r>
      <w:r w:rsidR="00B834D7" w:rsidRPr="00E1273C">
        <w:rPr>
          <w:rFonts w:ascii="Times New Roman" w:hAnsi="Times New Roman" w:cs="Times New Roman"/>
          <w:b/>
          <w:i/>
          <w:sz w:val="24"/>
          <w:szCs w:val="24"/>
        </w:rPr>
        <w:t> </w:t>
      </w:r>
      <w:r w:rsidRPr="00E1273C">
        <w:rPr>
          <w:rFonts w:ascii="Times New Roman" w:hAnsi="Times New Roman" w:cs="Times New Roman"/>
          <w:b/>
          <w:i/>
          <w:sz w:val="24"/>
          <w:szCs w:val="24"/>
        </w:rPr>
        <w:t>tabuľke</w:t>
      </w:r>
      <w:r w:rsidR="00B834D7" w:rsidRPr="00E1273C">
        <w:rPr>
          <w:rFonts w:ascii="Times New Roman" w:hAnsi="Times New Roman" w:cs="Times New Roman"/>
          <w:b/>
          <w:i/>
          <w:sz w:val="24"/>
          <w:szCs w:val="24"/>
        </w:rPr>
        <w:t xml:space="preserve"> č. 3</w:t>
      </w:r>
      <w:r w:rsidRPr="000E1988">
        <w:rPr>
          <w:rFonts w:ascii="Times New Roman" w:hAnsi="Times New Roman" w:cs="Times New Roman"/>
          <w:sz w:val="24"/>
          <w:szCs w:val="24"/>
        </w:rPr>
        <w:t xml:space="preserve"> je uvedené</w:t>
      </w:r>
      <w:r w:rsidR="00B834D7" w:rsidRPr="000E1988">
        <w:rPr>
          <w:rFonts w:ascii="Times New Roman" w:hAnsi="Times New Roman" w:cs="Times New Roman"/>
          <w:sz w:val="24"/>
          <w:szCs w:val="24"/>
        </w:rPr>
        <w:t xml:space="preserve"> aj </w:t>
      </w:r>
      <w:r w:rsidRPr="000E1988">
        <w:rPr>
          <w:rFonts w:ascii="Times New Roman" w:hAnsi="Times New Roman" w:cs="Times New Roman"/>
          <w:sz w:val="24"/>
          <w:szCs w:val="24"/>
        </w:rPr>
        <w:t>predpokladané rozdelenie alokácie na dopytovo orientovanú výzvu na informačné aktivity v rozdelení podľa návrhu Hodnotenia aktuálneho stavu implementácie OP KŽP</w:t>
      </w:r>
      <w:r w:rsidR="00830212" w:rsidRPr="000E1988">
        <w:rPr>
          <w:rFonts w:ascii="Times New Roman" w:hAnsi="Times New Roman" w:cs="Times New Roman"/>
          <w:sz w:val="24"/>
          <w:szCs w:val="24"/>
        </w:rPr>
        <w:t xml:space="preserve"> (</w:t>
      </w:r>
      <w:r w:rsidR="00830212" w:rsidRPr="00E1273C">
        <w:rPr>
          <w:rFonts w:ascii="Times New Roman" w:hAnsi="Times New Roman" w:cs="Times New Roman"/>
          <w:b/>
          <w:i/>
          <w:sz w:val="24"/>
          <w:szCs w:val="24"/>
        </w:rPr>
        <w:t>stĺpec E</w:t>
      </w:r>
      <w:r w:rsidR="00830212" w:rsidRPr="000E1988">
        <w:rPr>
          <w:rFonts w:ascii="Times New Roman" w:hAnsi="Times New Roman" w:cs="Times New Roman"/>
          <w:sz w:val="24"/>
          <w:szCs w:val="24"/>
        </w:rPr>
        <w:t>)</w:t>
      </w:r>
      <w:r w:rsidRPr="000E1988">
        <w:rPr>
          <w:rFonts w:ascii="Times New Roman" w:hAnsi="Times New Roman" w:cs="Times New Roman"/>
          <w:sz w:val="24"/>
          <w:szCs w:val="24"/>
        </w:rPr>
        <w:t xml:space="preserve"> a rozdelenie národného projektu na informačné aktivity</w:t>
      </w:r>
      <w:r w:rsidR="00830212" w:rsidRPr="000E1988">
        <w:rPr>
          <w:rFonts w:ascii="Times New Roman" w:hAnsi="Times New Roman" w:cs="Times New Roman"/>
          <w:sz w:val="24"/>
          <w:szCs w:val="24"/>
        </w:rPr>
        <w:t xml:space="preserve"> (</w:t>
      </w:r>
      <w:r w:rsidR="00830212" w:rsidRPr="00E1273C">
        <w:rPr>
          <w:rFonts w:ascii="Times New Roman" w:hAnsi="Times New Roman" w:cs="Times New Roman"/>
          <w:b/>
          <w:i/>
          <w:sz w:val="24"/>
          <w:szCs w:val="24"/>
        </w:rPr>
        <w:t>stĺpec F</w:t>
      </w:r>
      <w:r w:rsidR="00830212" w:rsidRPr="000E1988">
        <w:rPr>
          <w:rFonts w:ascii="Times New Roman" w:hAnsi="Times New Roman" w:cs="Times New Roman"/>
          <w:sz w:val="24"/>
          <w:szCs w:val="24"/>
        </w:rPr>
        <w:t>)</w:t>
      </w:r>
      <w:r w:rsidRPr="000E1988">
        <w:rPr>
          <w:rFonts w:ascii="Times New Roman" w:hAnsi="Times New Roman" w:cs="Times New Roman"/>
          <w:sz w:val="24"/>
          <w:szCs w:val="24"/>
        </w:rPr>
        <w:t>.</w:t>
      </w:r>
    </w:p>
    <w:p w:rsidR="00BC2C88" w:rsidRDefault="002E2F69" w:rsidP="00E1273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Zároveň je potrebné uviesť, že z</w:t>
      </w:r>
      <w:r w:rsidR="00BC2C88" w:rsidRPr="00BC2C88">
        <w:rPr>
          <w:rFonts w:ascii="Times New Roman" w:hAnsi="Times New Roman" w:cs="Times New Roman"/>
          <w:sz w:val="24"/>
          <w:szCs w:val="24"/>
        </w:rPr>
        <w:t xml:space="preserve"> dôvodu nedostatku </w:t>
      </w:r>
      <w:r w:rsidR="00D33510">
        <w:rPr>
          <w:rFonts w:ascii="Times New Roman" w:hAnsi="Times New Roman" w:cs="Times New Roman"/>
          <w:sz w:val="24"/>
          <w:szCs w:val="24"/>
        </w:rPr>
        <w:t>disponibilných</w:t>
      </w:r>
      <w:r w:rsidR="00BC2C88" w:rsidRPr="00BC2C88">
        <w:rPr>
          <w:rFonts w:ascii="Times New Roman" w:hAnsi="Times New Roman" w:cs="Times New Roman"/>
          <w:sz w:val="24"/>
          <w:szCs w:val="24"/>
        </w:rPr>
        <w:t xml:space="preserve"> finančných prostriedkov na oblasť intervencie 017</w:t>
      </w:r>
      <w:r w:rsidR="00D33510">
        <w:rPr>
          <w:rFonts w:ascii="Times New Roman" w:hAnsi="Times New Roman" w:cs="Times New Roman"/>
          <w:sz w:val="24"/>
          <w:szCs w:val="24"/>
        </w:rPr>
        <w:t xml:space="preserve"> nebolo </w:t>
      </w:r>
      <w:r>
        <w:rPr>
          <w:rFonts w:ascii="Times New Roman" w:hAnsi="Times New Roman" w:cs="Times New Roman"/>
          <w:sz w:val="24"/>
          <w:szCs w:val="24"/>
        </w:rPr>
        <w:t xml:space="preserve">možné na už vyhlásenú </w:t>
      </w:r>
      <w:r w:rsidR="00BC2C88" w:rsidRPr="00BC2C88">
        <w:rPr>
          <w:rFonts w:ascii="Times New Roman" w:hAnsi="Times New Roman" w:cs="Times New Roman"/>
          <w:sz w:val="24"/>
          <w:szCs w:val="24"/>
        </w:rPr>
        <w:t xml:space="preserve"> </w:t>
      </w:r>
      <w:r w:rsidR="00BC2C88" w:rsidRPr="00E1273C">
        <w:rPr>
          <w:rFonts w:ascii="Times New Roman" w:hAnsi="Times New Roman" w:cs="Times New Roman"/>
          <w:b/>
          <w:sz w:val="24"/>
          <w:szCs w:val="24"/>
        </w:rPr>
        <w:t>výzvu na predchádzanie BRKO prostredníctvom nákupu kompostérov pre domácnosti</w:t>
      </w:r>
      <w:r w:rsidR="00BC2C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2C88" w:rsidRPr="00E1273C">
        <w:rPr>
          <w:rFonts w:ascii="Times New Roman" w:hAnsi="Times New Roman" w:cs="Times New Roman"/>
          <w:sz w:val="24"/>
          <w:szCs w:val="24"/>
        </w:rPr>
        <w:t>(</w:t>
      </w:r>
      <w:r w:rsidR="00BC2C88">
        <w:rPr>
          <w:rFonts w:ascii="Times New Roman" w:hAnsi="Times New Roman" w:cs="Times New Roman"/>
          <w:sz w:val="24"/>
          <w:szCs w:val="24"/>
        </w:rPr>
        <w:t xml:space="preserve">23. </w:t>
      </w:r>
      <w:r w:rsidR="00BC2C88" w:rsidRPr="00E1273C">
        <w:rPr>
          <w:rFonts w:ascii="Times New Roman" w:hAnsi="Times New Roman" w:cs="Times New Roman"/>
          <w:sz w:val="24"/>
          <w:szCs w:val="24"/>
        </w:rPr>
        <w:t>výzva)</w:t>
      </w:r>
      <w:r w:rsidR="00BC2C88" w:rsidRPr="00BC2C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alokovať zdroje v objeme </w:t>
      </w:r>
      <w:r>
        <w:rPr>
          <w:rFonts w:ascii="Times New Roman" w:hAnsi="Times New Roman" w:cs="Times New Roman"/>
          <w:sz w:val="24"/>
          <w:szCs w:val="24"/>
        </w:rPr>
        <w:br/>
      </w:r>
      <w:r w:rsidR="00BC2C88" w:rsidRPr="00BC2C88">
        <w:rPr>
          <w:rFonts w:ascii="Times New Roman" w:hAnsi="Times New Roman" w:cs="Times New Roman"/>
          <w:sz w:val="24"/>
          <w:szCs w:val="24"/>
        </w:rPr>
        <w:t>20 mil. EUR</w:t>
      </w:r>
      <w:r>
        <w:rPr>
          <w:rFonts w:ascii="Times New Roman" w:hAnsi="Times New Roman" w:cs="Times New Roman"/>
          <w:sz w:val="24"/>
          <w:szCs w:val="24"/>
        </w:rPr>
        <w:t>,</w:t>
      </w:r>
      <w:r w:rsidR="00BC2C88" w:rsidRPr="00BC2C88">
        <w:rPr>
          <w:rFonts w:ascii="Times New Roman" w:hAnsi="Times New Roman" w:cs="Times New Roman"/>
          <w:sz w:val="24"/>
          <w:szCs w:val="24"/>
        </w:rPr>
        <w:t xml:space="preserve"> tak ako to bolo plánované v indikatívnom harmonograme na rok 2016</w:t>
      </w:r>
      <w:r w:rsidR="00BC2C88">
        <w:rPr>
          <w:rFonts w:ascii="Times New Roman" w:hAnsi="Times New Roman" w:cs="Times New Roman"/>
          <w:sz w:val="24"/>
          <w:szCs w:val="24"/>
        </w:rPr>
        <w:t>, ale iba v sume 5 mil. EUR</w:t>
      </w:r>
      <w:r w:rsidR="00BC2C88" w:rsidRPr="00BC2C88">
        <w:rPr>
          <w:rFonts w:ascii="Times New Roman" w:hAnsi="Times New Roman" w:cs="Times New Roman"/>
          <w:sz w:val="24"/>
          <w:szCs w:val="24"/>
        </w:rPr>
        <w:t xml:space="preserve">. </w:t>
      </w:r>
      <w:r w:rsidR="00E53396">
        <w:rPr>
          <w:rFonts w:ascii="Times New Roman" w:hAnsi="Times New Roman" w:cs="Times New Roman"/>
          <w:sz w:val="24"/>
          <w:szCs w:val="24"/>
        </w:rPr>
        <w:t>P</w:t>
      </w:r>
      <w:r w:rsidR="00BC2C88" w:rsidRPr="00BC2C88">
        <w:rPr>
          <w:rFonts w:ascii="Times New Roman" w:hAnsi="Times New Roman" w:cs="Times New Roman"/>
          <w:sz w:val="24"/>
          <w:szCs w:val="24"/>
        </w:rPr>
        <w:t xml:space="preserve">redchádzanie vzniku BRKO nákupom kompostérov pre domácnosti predstavuje najvyšší stupeň nakladania </w:t>
      </w:r>
      <w:r w:rsidR="00E53396">
        <w:rPr>
          <w:rFonts w:ascii="Times New Roman" w:hAnsi="Times New Roman" w:cs="Times New Roman"/>
          <w:sz w:val="24"/>
          <w:szCs w:val="24"/>
        </w:rPr>
        <w:t xml:space="preserve">s odpadmi </w:t>
      </w:r>
      <w:r w:rsidR="00BC2C88" w:rsidRPr="00BC2C88">
        <w:rPr>
          <w:rFonts w:ascii="Times New Roman" w:hAnsi="Times New Roman" w:cs="Times New Roman"/>
          <w:sz w:val="24"/>
          <w:szCs w:val="24"/>
        </w:rPr>
        <w:t>v zmysle hierarchie odpadov</w:t>
      </w:r>
      <w:r w:rsidR="00E53396">
        <w:rPr>
          <w:rFonts w:ascii="Times New Roman" w:hAnsi="Times New Roman" w:cs="Times New Roman"/>
          <w:sz w:val="24"/>
          <w:szCs w:val="24"/>
        </w:rPr>
        <w:t>ého hospodárstva</w:t>
      </w:r>
      <w:r w:rsidR="00BC2C88" w:rsidRPr="00BC2C88">
        <w:rPr>
          <w:rFonts w:ascii="Times New Roman" w:hAnsi="Times New Roman" w:cs="Times New Roman"/>
          <w:sz w:val="24"/>
          <w:szCs w:val="24"/>
        </w:rPr>
        <w:t xml:space="preserve"> a</w:t>
      </w:r>
      <w:r w:rsidR="00E53396">
        <w:rPr>
          <w:rFonts w:ascii="Times New Roman" w:hAnsi="Times New Roman" w:cs="Times New Roman"/>
          <w:sz w:val="24"/>
          <w:szCs w:val="24"/>
        </w:rPr>
        <w:t xml:space="preserve"> zároveň </w:t>
      </w:r>
      <w:r w:rsidR="00BC2C88" w:rsidRPr="00BC2C88">
        <w:rPr>
          <w:rFonts w:ascii="Times New Roman" w:hAnsi="Times New Roman" w:cs="Times New Roman"/>
          <w:sz w:val="24"/>
          <w:szCs w:val="24"/>
        </w:rPr>
        <w:t>je o</w:t>
      </w:r>
      <w:r w:rsidR="00574E75">
        <w:rPr>
          <w:rFonts w:ascii="Times New Roman" w:hAnsi="Times New Roman" w:cs="Times New Roman"/>
          <w:sz w:val="24"/>
          <w:szCs w:val="24"/>
        </w:rPr>
        <w:t> </w:t>
      </w:r>
      <w:r w:rsidR="00E53396">
        <w:rPr>
          <w:rFonts w:ascii="Times New Roman" w:hAnsi="Times New Roman" w:cs="Times New Roman"/>
          <w:sz w:val="24"/>
          <w:szCs w:val="24"/>
        </w:rPr>
        <w:t xml:space="preserve">nákup kompostérov </w:t>
      </w:r>
      <w:r w:rsidR="00BC2C88">
        <w:rPr>
          <w:rFonts w:ascii="Times New Roman" w:hAnsi="Times New Roman" w:cs="Times New Roman"/>
          <w:sz w:val="24"/>
          <w:szCs w:val="24"/>
        </w:rPr>
        <w:t> </w:t>
      </w:r>
      <w:r w:rsidR="00BC2C88" w:rsidRPr="00BC2C88">
        <w:rPr>
          <w:rFonts w:ascii="Times New Roman" w:hAnsi="Times New Roman" w:cs="Times New Roman"/>
          <w:sz w:val="24"/>
          <w:szCs w:val="24"/>
        </w:rPr>
        <w:t>zo strany obcí</w:t>
      </w:r>
      <w:r w:rsidR="00BC2C88">
        <w:rPr>
          <w:rFonts w:ascii="Times New Roman" w:hAnsi="Times New Roman" w:cs="Times New Roman"/>
          <w:sz w:val="24"/>
          <w:szCs w:val="24"/>
        </w:rPr>
        <w:t xml:space="preserve"> </w:t>
      </w:r>
      <w:r w:rsidR="00BC2C88" w:rsidRPr="00BC2C88">
        <w:rPr>
          <w:rFonts w:ascii="Times New Roman" w:hAnsi="Times New Roman" w:cs="Times New Roman"/>
          <w:sz w:val="24"/>
          <w:szCs w:val="24"/>
        </w:rPr>
        <w:t>a združení obcí veľký záujem</w:t>
      </w:r>
      <w:r w:rsidR="00574E75">
        <w:rPr>
          <w:rFonts w:ascii="Times New Roman" w:hAnsi="Times New Roman" w:cs="Times New Roman"/>
          <w:sz w:val="24"/>
          <w:szCs w:val="24"/>
        </w:rPr>
        <w:t>, prezentovaný aj Združením miest a obcí Slovenska, ktoré považuje za nutné</w:t>
      </w:r>
      <w:r w:rsidR="00F84AD1">
        <w:rPr>
          <w:rFonts w:ascii="Times New Roman" w:hAnsi="Times New Roman" w:cs="Times New Roman"/>
          <w:sz w:val="24"/>
          <w:szCs w:val="24"/>
        </w:rPr>
        <w:t xml:space="preserve"> navýšiť súčasnú alokáciu výzvy na pôvodne plánovaný objem</w:t>
      </w:r>
      <w:r w:rsidR="00BC2C88" w:rsidRPr="00BC2C88">
        <w:rPr>
          <w:rFonts w:ascii="Times New Roman" w:hAnsi="Times New Roman" w:cs="Times New Roman"/>
          <w:sz w:val="24"/>
          <w:szCs w:val="24"/>
        </w:rPr>
        <w:t>. Preto, na základe schválenia návrh</w:t>
      </w:r>
      <w:r w:rsidR="00F84AD1">
        <w:rPr>
          <w:rFonts w:ascii="Times New Roman" w:hAnsi="Times New Roman" w:cs="Times New Roman"/>
          <w:sz w:val="24"/>
          <w:szCs w:val="24"/>
        </w:rPr>
        <w:t>ovaného</w:t>
      </w:r>
      <w:r w:rsidR="00BC2C88" w:rsidRPr="00BC2C88">
        <w:rPr>
          <w:rFonts w:ascii="Times New Roman" w:hAnsi="Times New Roman" w:cs="Times New Roman"/>
          <w:sz w:val="24"/>
          <w:szCs w:val="24"/>
        </w:rPr>
        <w:t xml:space="preserve"> </w:t>
      </w:r>
      <w:r w:rsidR="00D33510">
        <w:rPr>
          <w:rFonts w:ascii="Times New Roman" w:hAnsi="Times New Roman" w:cs="Times New Roman"/>
          <w:sz w:val="24"/>
          <w:szCs w:val="24"/>
        </w:rPr>
        <w:t>presunu finančných</w:t>
      </w:r>
      <w:r w:rsidR="00BC2C88" w:rsidRPr="00BC2C88">
        <w:rPr>
          <w:rFonts w:ascii="Times New Roman" w:hAnsi="Times New Roman" w:cs="Times New Roman"/>
          <w:sz w:val="24"/>
          <w:szCs w:val="24"/>
        </w:rPr>
        <w:t xml:space="preserve"> prostriedkov medzi oblasťami intervencie, RO pre OP KŽP plánuje zvýšiť alokáciu na 23</w:t>
      </w:r>
      <w:r w:rsidR="00BC2C88">
        <w:rPr>
          <w:rFonts w:ascii="Times New Roman" w:hAnsi="Times New Roman" w:cs="Times New Roman"/>
          <w:sz w:val="24"/>
          <w:szCs w:val="24"/>
        </w:rPr>
        <w:t>.</w:t>
      </w:r>
      <w:r w:rsidR="00BC2C88" w:rsidRPr="00BC2C88">
        <w:rPr>
          <w:rFonts w:ascii="Times New Roman" w:hAnsi="Times New Roman" w:cs="Times New Roman"/>
          <w:sz w:val="24"/>
          <w:szCs w:val="24"/>
        </w:rPr>
        <w:t xml:space="preserve"> výzvu o 15 mil. EUR na </w:t>
      </w:r>
      <w:r w:rsidR="00BC2C88">
        <w:rPr>
          <w:rFonts w:ascii="Times New Roman" w:hAnsi="Times New Roman" w:cs="Times New Roman"/>
          <w:sz w:val="24"/>
          <w:szCs w:val="24"/>
        </w:rPr>
        <w:t xml:space="preserve">pôvodne </w:t>
      </w:r>
      <w:r w:rsidR="00BC2C88" w:rsidRPr="00BC2C88">
        <w:rPr>
          <w:rFonts w:ascii="Times New Roman" w:hAnsi="Times New Roman" w:cs="Times New Roman"/>
          <w:sz w:val="24"/>
          <w:szCs w:val="24"/>
        </w:rPr>
        <w:t xml:space="preserve">plánovanú alokáciu 20 mil. EUR. </w:t>
      </w:r>
      <w:r w:rsidR="00BC2C88">
        <w:rPr>
          <w:rFonts w:ascii="Times New Roman" w:hAnsi="Times New Roman" w:cs="Times New Roman"/>
          <w:sz w:val="24"/>
          <w:szCs w:val="24"/>
        </w:rPr>
        <w:t>Su</w:t>
      </w:r>
      <w:r w:rsidR="00BC2C88" w:rsidRPr="00BC2C88">
        <w:rPr>
          <w:rFonts w:ascii="Times New Roman" w:hAnsi="Times New Roman" w:cs="Times New Roman"/>
          <w:sz w:val="24"/>
          <w:szCs w:val="24"/>
        </w:rPr>
        <w:t>ma 15 mil. EUR</w:t>
      </w:r>
      <w:r w:rsidR="00BC2C88">
        <w:rPr>
          <w:rFonts w:ascii="Times New Roman" w:hAnsi="Times New Roman" w:cs="Times New Roman"/>
          <w:sz w:val="24"/>
          <w:szCs w:val="24"/>
        </w:rPr>
        <w:t xml:space="preserve">, </w:t>
      </w:r>
      <w:r w:rsidR="00BC2C88" w:rsidRPr="00BC2C88">
        <w:rPr>
          <w:rFonts w:ascii="Times New Roman" w:hAnsi="Times New Roman" w:cs="Times New Roman"/>
          <w:sz w:val="24"/>
          <w:szCs w:val="24"/>
        </w:rPr>
        <w:t xml:space="preserve"> </w:t>
      </w:r>
      <w:r w:rsidR="00BC2C88">
        <w:rPr>
          <w:rFonts w:ascii="Times New Roman" w:hAnsi="Times New Roman" w:cs="Times New Roman"/>
          <w:sz w:val="24"/>
          <w:szCs w:val="24"/>
        </w:rPr>
        <w:t>o ktorú sa plánuje navýšiť alokácie 23. výzvy, je uvedená</w:t>
      </w:r>
      <w:r w:rsidR="00BC2C88" w:rsidRPr="00BC2C88">
        <w:rPr>
          <w:rFonts w:ascii="Times New Roman" w:hAnsi="Times New Roman" w:cs="Times New Roman"/>
          <w:sz w:val="24"/>
          <w:szCs w:val="24"/>
        </w:rPr>
        <w:t xml:space="preserve"> </w:t>
      </w:r>
      <w:r w:rsidR="00BC2C88" w:rsidRPr="00E1273C">
        <w:rPr>
          <w:rFonts w:ascii="Times New Roman" w:hAnsi="Times New Roman" w:cs="Times New Roman"/>
          <w:b/>
          <w:i/>
          <w:sz w:val="24"/>
          <w:szCs w:val="24"/>
        </w:rPr>
        <w:t>v tabuľke č. 3 v stĺpci G</w:t>
      </w:r>
      <w:r w:rsidR="00BC2C88" w:rsidRPr="00E1273C">
        <w:rPr>
          <w:rFonts w:ascii="Times New Roman" w:hAnsi="Times New Roman" w:cs="Times New Roman"/>
          <w:i/>
          <w:sz w:val="24"/>
          <w:szCs w:val="24"/>
        </w:rPr>
        <w:t>.</w:t>
      </w:r>
    </w:p>
    <w:p w:rsidR="00F84AD1" w:rsidRDefault="00F84AD1" w:rsidP="00E1273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84AD1" w:rsidRDefault="00F84AD1" w:rsidP="00E1273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A0C65" w:rsidRDefault="006A0C65" w:rsidP="00E1273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A0C65" w:rsidRDefault="006A0C65" w:rsidP="00E1273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8351A" w:rsidRDefault="0088351A" w:rsidP="00E1273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45952" w:rsidRDefault="00D45952" w:rsidP="00E1273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23D37" w:rsidRPr="00E1273C" w:rsidRDefault="00923D37" w:rsidP="00E1273C">
      <w:pPr>
        <w:spacing w:after="6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273C">
        <w:rPr>
          <w:rFonts w:ascii="Times New Roman" w:hAnsi="Times New Roman" w:cs="Times New Roman"/>
          <w:i/>
          <w:sz w:val="24"/>
          <w:szCs w:val="24"/>
        </w:rPr>
        <w:lastRenderedPageBreak/>
        <w:t>Tabuľka č. 3: Výzvy plánované v indikatívnom harmonograme výziev na rok 2017</w:t>
      </w:r>
      <w:r w:rsidR="00EF1178" w:rsidRPr="00E1273C">
        <w:rPr>
          <w:rFonts w:ascii="Times New Roman" w:hAnsi="Times New Roman" w:cs="Times New Roman"/>
          <w:i/>
          <w:sz w:val="24"/>
          <w:szCs w:val="24"/>
        </w:rPr>
        <w:t xml:space="preserve"> v EUR (</w:t>
      </w:r>
      <w:r w:rsidR="00F84AD1" w:rsidRPr="00E1273C">
        <w:rPr>
          <w:rFonts w:ascii="Times New Roman" w:hAnsi="Times New Roman" w:cs="Times New Roman"/>
          <w:i/>
          <w:sz w:val="24"/>
          <w:szCs w:val="24"/>
        </w:rPr>
        <w:t xml:space="preserve">EÚ </w:t>
      </w:r>
      <w:r w:rsidR="00EF1178" w:rsidRPr="00E1273C">
        <w:rPr>
          <w:rFonts w:ascii="Times New Roman" w:hAnsi="Times New Roman" w:cs="Times New Roman"/>
          <w:i/>
          <w:sz w:val="24"/>
          <w:szCs w:val="24"/>
        </w:rPr>
        <w:t>zdroj)</w:t>
      </w:r>
    </w:p>
    <w:tbl>
      <w:tblPr>
        <w:tblW w:w="143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7"/>
        <w:gridCol w:w="1982"/>
        <w:gridCol w:w="1984"/>
        <w:gridCol w:w="2127"/>
        <w:gridCol w:w="1388"/>
        <w:gridCol w:w="1247"/>
        <w:gridCol w:w="1557"/>
        <w:gridCol w:w="1336"/>
        <w:gridCol w:w="1559"/>
      </w:tblGrid>
      <w:tr w:rsidR="00E1273C" w:rsidRPr="000E1988" w:rsidTr="00E1273C">
        <w:trPr>
          <w:trHeight w:val="870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CD7753" w:rsidRPr="00E1273C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Oblasť intervencie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D7753" w:rsidRPr="00E1273C" w:rsidRDefault="00CD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Aktivita B </w:t>
            </w:r>
            <w:r w:rsidR="00F84AD1"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- </w:t>
            </w: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podpora triedeného zberu komunálnych odpadov</w:t>
            </w:r>
            <w:r w:rsidR="00F84AD1"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(pre podnikateľov)</w:t>
            </w: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  <w:r w:rsidR="00A36D46"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</w:t>
            </w: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  <w:r w:rsidRPr="00E1273C">
              <w:rPr>
                <w:rFonts w:ascii="Times New Roman" w:eastAsia="Times New Roman" w:hAnsi="Times New Roman" w:cs="Times New Roman"/>
                <w:i/>
                <w:color w:val="000000"/>
                <w:lang w:eastAsia="sk-SK"/>
              </w:rPr>
              <w:t>schéma regionálnej štátnej pomoci</w:t>
            </w: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D7753" w:rsidRPr="00E1273C" w:rsidRDefault="00CD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Aktivita B </w:t>
            </w:r>
            <w:r w:rsidR="00A36D46"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</w:t>
            </w: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  <w:r w:rsidR="00574D5B"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podpora najmenej rozvinutých okresov - </w:t>
            </w:r>
            <w:r w:rsidRPr="00E1273C">
              <w:rPr>
                <w:rFonts w:ascii="Times New Roman" w:eastAsia="Times New Roman" w:hAnsi="Times New Roman" w:cs="Times New Roman"/>
                <w:i/>
                <w:color w:val="000000"/>
                <w:lang w:eastAsia="sk-SK"/>
              </w:rPr>
              <w:t>mimo schémy štátnej pomoci a schéma pre miestne infraštruktúry</w:t>
            </w: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vAlign w:val="center"/>
          </w:tcPr>
          <w:p w:rsidR="006B10A5" w:rsidRDefault="00CD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Aktivita B</w:t>
            </w:r>
            <w:r w:rsidR="00912973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-</w:t>
            </w: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  <w:r w:rsidR="00574D5B"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zhodnocovanie,</w:t>
            </w:r>
          </w:p>
          <w:p w:rsidR="006B10A5" w:rsidRDefault="00574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najmä recyklácia, </w:t>
            </w:r>
          </w:p>
          <w:p w:rsidR="00CD7753" w:rsidRPr="00E1273C" w:rsidRDefault="00574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nie nebezpečných odpadov a t</w:t>
            </w:r>
            <w:r w:rsidR="00CD7753"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riedený zber komunál</w:t>
            </w:r>
            <w:r w:rsidR="006B10A5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nych</w:t>
            </w:r>
            <w:r w:rsidR="00CD7753"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odpadov </w:t>
            </w:r>
            <w:r w:rsidR="00A36D46"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- </w:t>
            </w:r>
            <w:r w:rsidR="00A36D46" w:rsidRPr="00E1273C">
              <w:rPr>
                <w:rFonts w:ascii="Times New Roman" w:eastAsia="Times New Roman" w:hAnsi="Times New Roman" w:cs="Times New Roman"/>
                <w:i/>
                <w:color w:val="000000"/>
                <w:lang w:eastAsia="sk-SK"/>
              </w:rPr>
              <w:t>mimo schémy štátnej pomoci a schéma pre miestne infraštruktúry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D7753" w:rsidRPr="00E1273C" w:rsidRDefault="00CD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Aktivita B </w:t>
            </w:r>
            <w:r w:rsidR="00912973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</w:t>
            </w: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bioplynové stanice na báze odpadu</w:t>
            </w:r>
            <w:r w:rsidR="00912973" w:rsidRPr="008C1A82">
              <w:rPr>
                <w:rFonts w:ascii="Times New Roman" w:eastAsia="Times New Roman" w:hAnsi="Times New Roman" w:cs="Times New Roman"/>
                <w:i/>
                <w:color w:val="000000"/>
                <w:lang w:eastAsia="sk-SK"/>
              </w:rPr>
              <w:t xml:space="preserve"> </w:t>
            </w:r>
            <w:r w:rsidR="00912973">
              <w:rPr>
                <w:rFonts w:ascii="Times New Roman" w:eastAsia="Times New Roman" w:hAnsi="Times New Roman" w:cs="Times New Roman"/>
                <w:i/>
                <w:color w:val="000000"/>
                <w:lang w:eastAsia="sk-SK"/>
              </w:rPr>
              <w:t xml:space="preserve">- </w:t>
            </w:r>
            <w:r w:rsidR="00912973" w:rsidRPr="008C1A82">
              <w:rPr>
                <w:rFonts w:ascii="Times New Roman" w:eastAsia="Times New Roman" w:hAnsi="Times New Roman" w:cs="Times New Roman"/>
                <w:i/>
                <w:color w:val="000000"/>
                <w:lang w:eastAsia="sk-SK"/>
              </w:rPr>
              <w:t>schéma štátnej pomoci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D7753" w:rsidRPr="00E1273C" w:rsidRDefault="00CD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Informačné aktivity</w:t>
            </w:r>
            <w:r w:rsidR="00912973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- dopytovo orientovaná výzva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D7753" w:rsidRPr="00E1273C" w:rsidRDefault="0091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8C1A8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Informačné aktivity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-v</w:t>
            </w:r>
            <w:r w:rsidR="00CD7753"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yzvanie na národný projekt SAŽP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A36D46" w:rsidRPr="00E1273C" w:rsidRDefault="00A36D46" w:rsidP="00E1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  <w:p w:rsidR="00A36D46" w:rsidRPr="00E1273C" w:rsidRDefault="00A36D46" w:rsidP="00E1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  <w:p w:rsidR="00A36D46" w:rsidRPr="00E1273C" w:rsidRDefault="00A36D46" w:rsidP="00E1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  <w:p w:rsidR="00A36D46" w:rsidRPr="00E1273C" w:rsidRDefault="00A36D46" w:rsidP="00E1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  <w:p w:rsidR="00CD7753" w:rsidRPr="00E1273C" w:rsidRDefault="00CD7753" w:rsidP="00E1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Navýšenie</w:t>
            </w:r>
            <w:r w:rsidR="00BC2C88"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alokácie</w:t>
            </w: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  <w:r w:rsidR="00BC2C88"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23. </w:t>
            </w:r>
            <w:r w:rsidR="00A36D46"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</w:t>
            </w: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ýzvy</w:t>
            </w:r>
            <w:r w:rsidR="00A36D46"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– domové kompostéry  </w:t>
            </w: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  <w:p w:rsidR="00CD7753" w:rsidRPr="00E1273C" w:rsidRDefault="00CD7753" w:rsidP="00E1273C">
            <w:pPr>
              <w:pStyle w:val="Odsekzoznamu"/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D7753" w:rsidRPr="00E1273C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Potreba prostriedkov na plánované výzvy a vyzvanie</w:t>
            </w:r>
          </w:p>
        </w:tc>
      </w:tr>
      <w:tr w:rsidR="009045C4" w:rsidRPr="000E1988" w:rsidTr="00E1273C">
        <w:trPr>
          <w:trHeight w:val="30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>B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C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>D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>E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>F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7753" w:rsidRPr="00CD7753" w:rsidRDefault="00CD7753" w:rsidP="00E1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</w:pPr>
            <w:r w:rsidRPr="00CD7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>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753" w:rsidRPr="000E1988" w:rsidRDefault="00CD7753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</w:tr>
      <w:tr w:rsidR="00A36D46" w:rsidRPr="000E1988" w:rsidTr="00E1273C">
        <w:trPr>
          <w:trHeight w:val="30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017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k-SK"/>
              </w:rPr>
              <w:t>10 000 000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18 030 000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k-SK"/>
              </w:rPr>
              <w:t>25 000 000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536 212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3 463 788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7753" w:rsidRPr="000E1988" w:rsidRDefault="00CD7753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D7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15 000 000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753" w:rsidRPr="000E1988" w:rsidRDefault="00CD7753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D7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72 030 000   </w:t>
            </w:r>
          </w:p>
        </w:tc>
      </w:tr>
      <w:tr w:rsidR="009045C4" w:rsidRPr="000E1988" w:rsidTr="00E1273C">
        <w:trPr>
          <w:trHeight w:val="31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018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6 970 000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416 667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7753" w:rsidRPr="000E1988" w:rsidRDefault="00CD7753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753" w:rsidRPr="000E1988" w:rsidRDefault="00CD7753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7 386 667   </w:t>
            </w:r>
          </w:p>
        </w:tc>
      </w:tr>
      <w:tr w:rsidR="009045C4" w:rsidRPr="000E1988" w:rsidTr="00E1273C">
        <w:trPr>
          <w:trHeight w:val="31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019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10 000 000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120 194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45 267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7753" w:rsidRPr="000E1988" w:rsidRDefault="00CD7753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753" w:rsidRPr="000E1988" w:rsidRDefault="00CD7753" w:rsidP="007E0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10 165 461   </w:t>
            </w:r>
          </w:p>
        </w:tc>
      </w:tr>
      <w:tr w:rsidR="009045C4" w:rsidRPr="000E1988" w:rsidTr="00E1273C">
        <w:trPr>
          <w:trHeight w:val="31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Spolu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10 000 000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25 000 000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25 000 000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10 000 000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1 073 073  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753" w:rsidRPr="000E1988" w:rsidRDefault="00CD7753" w:rsidP="007E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3 509 055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7753" w:rsidRPr="000E1988" w:rsidRDefault="00CD7753" w:rsidP="00B33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D7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15 000 000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753" w:rsidRPr="000E1988" w:rsidRDefault="00CD7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D7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89 582 128   </w:t>
            </w:r>
          </w:p>
        </w:tc>
      </w:tr>
    </w:tbl>
    <w:p w:rsidR="00A36D46" w:rsidRDefault="00A36D46" w:rsidP="00E127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082E" w:rsidRDefault="00566728" w:rsidP="00E1273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988">
        <w:rPr>
          <w:rFonts w:ascii="Times New Roman" w:hAnsi="Times New Roman" w:cs="Times New Roman"/>
          <w:sz w:val="24"/>
          <w:szCs w:val="24"/>
        </w:rPr>
        <w:t>Na základe údajov uvedených v tabuľkách č. 1, 2 a</w:t>
      </w:r>
      <w:r w:rsidR="0091082E">
        <w:rPr>
          <w:rFonts w:ascii="Times New Roman" w:hAnsi="Times New Roman" w:cs="Times New Roman"/>
          <w:sz w:val="24"/>
          <w:szCs w:val="24"/>
        </w:rPr>
        <w:t> </w:t>
      </w:r>
      <w:r w:rsidRPr="000E1988">
        <w:rPr>
          <w:rFonts w:ascii="Times New Roman" w:hAnsi="Times New Roman" w:cs="Times New Roman"/>
          <w:sz w:val="24"/>
          <w:szCs w:val="24"/>
        </w:rPr>
        <w:t>3</w:t>
      </w:r>
      <w:r w:rsidR="0091082E">
        <w:rPr>
          <w:rFonts w:ascii="Times New Roman" w:hAnsi="Times New Roman" w:cs="Times New Roman"/>
          <w:sz w:val="24"/>
          <w:szCs w:val="24"/>
        </w:rPr>
        <w:t xml:space="preserve"> sú v</w:t>
      </w:r>
      <w:r w:rsidR="00A36D46">
        <w:rPr>
          <w:rFonts w:ascii="Times New Roman" w:hAnsi="Times New Roman" w:cs="Times New Roman"/>
          <w:sz w:val="24"/>
          <w:szCs w:val="24"/>
        </w:rPr>
        <w:t xml:space="preserve"> </w:t>
      </w:r>
      <w:r w:rsidRPr="00E1273C">
        <w:rPr>
          <w:rFonts w:ascii="Times New Roman" w:hAnsi="Times New Roman" w:cs="Times New Roman"/>
          <w:b/>
          <w:i/>
          <w:sz w:val="24"/>
          <w:szCs w:val="24"/>
        </w:rPr>
        <w:t>tabuľk</w:t>
      </w:r>
      <w:r w:rsidR="0091082E" w:rsidRPr="00E1273C">
        <w:rPr>
          <w:rFonts w:ascii="Times New Roman" w:hAnsi="Times New Roman" w:cs="Times New Roman"/>
          <w:b/>
          <w:i/>
          <w:sz w:val="24"/>
          <w:szCs w:val="24"/>
        </w:rPr>
        <w:t>e</w:t>
      </w:r>
      <w:r w:rsidRPr="00E1273C">
        <w:rPr>
          <w:rFonts w:ascii="Times New Roman" w:hAnsi="Times New Roman" w:cs="Times New Roman"/>
          <w:b/>
          <w:i/>
          <w:sz w:val="24"/>
          <w:szCs w:val="24"/>
        </w:rPr>
        <w:t xml:space="preserve"> č. 4</w:t>
      </w:r>
      <w:r w:rsidRPr="000E1988">
        <w:rPr>
          <w:rFonts w:ascii="Times New Roman" w:hAnsi="Times New Roman" w:cs="Times New Roman"/>
          <w:sz w:val="24"/>
          <w:szCs w:val="24"/>
        </w:rPr>
        <w:t xml:space="preserve"> </w:t>
      </w:r>
      <w:r w:rsidR="00D45952">
        <w:rPr>
          <w:rFonts w:ascii="Times New Roman" w:hAnsi="Times New Roman" w:cs="Times New Roman"/>
          <w:sz w:val="24"/>
          <w:szCs w:val="24"/>
        </w:rPr>
        <w:t>zo</w:t>
      </w:r>
      <w:r w:rsidRPr="000E1988">
        <w:rPr>
          <w:rFonts w:ascii="Times New Roman" w:hAnsi="Times New Roman" w:cs="Times New Roman"/>
          <w:sz w:val="24"/>
          <w:szCs w:val="24"/>
        </w:rPr>
        <w:t>sumariz</w:t>
      </w:r>
      <w:r w:rsidR="00D45952">
        <w:rPr>
          <w:rFonts w:ascii="Times New Roman" w:hAnsi="Times New Roman" w:cs="Times New Roman"/>
          <w:sz w:val="24"/>
          <w:szCs w:val="24"/>
        </w:rPr>
        <w:t>ované</w:t>
      </w:r>
      <w:r w:rsidRPr="000E1988">
        <w:rPr>
          <w:rFonts w:ascii="Times New Roman" w:hAnsi="Times New Roman" w:cs="Times New Roman"/>
          <w:sz w:val="24"/>
          <w:szCs w:val="24"/>
        </w:rPr>
        <w:t xml:space="preserve"> potreby, nedostatok a návrh na </w:t>
      </w:r>
      <w:r w:rsidR="00D843F1">
        <w:rPr>
          <w:rFonts w:ascii="Times New Roman" w:hAnsi="Times New Roman" w:cs="Times New Roman"/>
          <w:sz w:val="24"/>
          <w:szCs w:val="24"/>
        </w:rPr>
        <w:t>presun</w:t>
      </w:r>
      <w:r w:rsidRPr="000E1988">
        <w:rPr>
          <w:rFonts w:ascii="Times New Roman" w:hAnsi="Times New Roman" w:cs="Times New Roman"/>
          <w:sz w:val="24"/>
          <w:szCs w:val="24"/>
        </w:rPr>
        <w:t xml:space="preserve"> finančných prostriedkov </w:t>
      </w:r>
      <w:r w:rsidR="00D843F1">
        <w:rPr>
          <w:rFonts w:ascii="Times New Roman" w:hAnsi="Times New Roman" w:cs="Times New Roman"/>
          <w:sz w:val="24"/>
          <w:szCs w:val="24"/>
        </w:rPr>
        <w:t>v rámci</w:t>
      </w:r>
      <w:r w:rsidRPr="000E1988">
        <w:rPr>
          <w:rFonts w:ascii="Times New Roman" w:hAnsi="Times New Roman" w:cs="Times New Roman"/>
          <w:sz w:val="24"/>
          <w:szCs w:val="24"/>
        </w:rPr>
        <w:t xml:space="preserve"> oblast</w:t>
      </w:r>
      <w:r w:rsidR="00D45952">
        <w:rPr>
          <w:rFonts w:ascii="Times New Roman" w:hAnsi="Times New Roman" w:cs="Times New Roman"/>
          <w:sz w:val="24"/>
          <w:szCs w:val="24"/>
        </w:rPr>
        <w:t>í</w:t>
      </w:r>
      <w:r w:rsidRPr="000E1988">
        <w:rPr>
          <w:rFonts w:ascii="Times New Roman" w:hAnsi="Times New Roman" w:cs="Times New Roman"/>
          <w:sz w:val="24"/>
          <w:szCs w:val="24"/>
        </w:rPr>
        <w:t xml:space="preserve"> intervenc</w:t>
      </w:r>
      <w:r w:rsidR="0091082E">
        <w:rPr>
          <w:rFonts w:ascii="Times New Roman" w:hAnsi="Times New Roman" w:cs="Times New Roman"/>
          <w:sz w:val="24"/>
          <w:szCs w:val="24"/>
        </w:rPr>
        <w:t>i</w:t>
      </w:r>
      <w:r w:rsidR="00D843F1">
        <w:rPr>
          <w:rFonts w:ascii="Times New Roman" w:hAnsi="Times New Roman" w:cs="Times New Roman"/>
          <w:sz w:val="24"/>
          <w:szCs w:val="24"/>
        </w:rPr>
        <w:t>í 017, 018 a 019</w:t>
      </w:r>
      <w:r w:rsidRPr="000E1988">
        <w:rPr>
          <w:rFonts w:ascii="Times New Roman" w:hAnsi="Times New Roman" w:cs="Times New Roman"/>
          <w:sz w:val="24"/>
          <w:szCs w:val="24"/>
        </w:rPr>
        <w:t xml:space="preserve"> v</w:t>
      </w:r>
      <w:r w:rsidR="00EF1178" w:rsidRPr="000E1988">
        <w:rPr>
          <w:rFonts w:ascii="Times New Roman" w:hAnsi="Times New Roman" w:cs="Times New Roman"/>
          <w:sz w:val="24"/>
          <w:szCs w:val="24"/>
        </w:rPr>
        <w:t> OP KŽP</w:t>
      </w:r>
      <w:r w:rsidRPr="000E1988">
        <w:rPr>
          <w:rFonts w:ascii="Times New Roman" w:hAnsi="Times New Roman" w:cs="Times New Roman"/>
          <w:sz w:val="24"/>
          <w:szCs w:val="24"/>
        </w:rPr>
        <w:t>.</w:t>
      </w:r>
    </w:p>
    <w:p w:rsidR="0091082E" w:rsidRPr="00E1273C" w:rsidRDefault="0091082E" w:rsidP="00E1273C">
      <w:pPr>
        <w:spacing w:after="6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273C">
        <w:rPr>
          <w:rFonts w:ascii="Times New Roman" w:hAnsi="Times New Roman" w:cs="Times New Roman"/>
          <w:i/>
          <w:sz w:val="24"/>
          <w:szCs w:val="24"/>
        </w:rPr>
        <w:t>Tabuľka č. 4: Sumarizácia potreby presunu finančných prostriedkov na oblasti intervencie  v EUR (</w:t>
      </w:r>
      <w:r w:rsidR="009045C4">
        <w:rPr>
          <w:rFonts w:ascii="Times New Roman" w:hAnsi="Times New Roman" w:cs="Times New Roman"/>
          <w:i/>
          <w:sz w:val="24"/>
          <w:szCs w:val="24"/>
        </w:rPr>
        <w:t xml:space="preserve">EÚ </w:t>
      </w:r>
      <w:r w:rsidRPr="00E1273C">
        <w:rPr>
          <w:rFonts w:ascii="Times New Roman" w:hAnsi="Times New Roman" w:cs="Times New Roman"/>
          <w:i/>
          <w:sz w:val="24"/>
          <w:szCs w:val="24"/>
        </w:rPr>
        <w:t>zdroj)</w:t>
      </w:r>
    </w:p>
    <w:tbl>
      <w:tblPr>
        <w:tblW w:w="139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1649"/>
        <w:gridCol w:w="1559"/>
        <w:gridCol w:w="1932"/>
        <w:gridCol w:w="1895"/>
        <w:gridCol w:w="1865"/>
        <w:gridCol w:w="1679"/>
        <w:gridCol w:w="1843"/>
      </w:tblGrid>
      <w:tr w:rsidR="006B10A5" w:rsidRPr="000E1988" w:rsidTr="00E1273C">
        <w:trPr>
          <w:trHeight w:val="1304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91082E" w:rsidRPr="00E1273C" w:rsidRDefault="0091082E" w:rsidP="0055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Oblasť intervencie</w:t>
            </w:r>
          </w:p>
        </w:tc>
        <w:tc>
          <w:tcPr>
            <w:tcW w:w="164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000000" w:fill="FDE9D9"/>
            <w:noWrap/>
            <w:vAlign w:val="center"/>
            <w:hideMark/>
          </w:tcPr>
          <w:p w:rsidR="0091082E" w:rsidRPr="00E1273C" w:rsidRDefault="0091082E" w:rsidP="0055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Alokácia na oblasť intervencie </w:t>
            </w:r>
          </w:p>
          <w:p w:rsidR="0091082E" w:rsidRPr="00E1273C" w:rsidRDefault="0091082E" w:rsidP="0055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(v OP KŽP)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91082E" w:rsidRPr="00E1273C" w:rsidRDefault="0091082E" w:rsidP="0055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Schválené/ zazmluvnené projekty</w:t>
            </w:r>
          </w:p>
          <w:p w:rsidR="0091082E" w:rsidRPr="00E1273C" w:rsidRDefault="0091082E" w:rsidP="0055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(tab. 1)</w:t>
            </w:r>
          </w:p>
        </w:tc>
        <w:tc>
          <w:tcPr>
            <w:tcW w:w="19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91082E" w:rsidRPr="00E1273C" w:rsidRDefault="0091082E" w:rsidP="0055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Potreba prostriedkov na aktuálne vyhlásené výzvy</w:t>
            </w:r>
          </w:p>
          <w:p w:rsidR="0091082E" w:rsidRPr="00E1273C" w:rsidRDefault="0091082E" w:rsidP="0055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(tab. 2)</w:t>
            </w:r>
          </w:p>
        </w:tc>
        <w:tc>
          <w:tcPr>
            <w:tcW w:w="18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D45952" w:rsidRDefault="0091082E" w:rsidP="0055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Potreba prostriedkov na výzvy </w:t>
            </w:r>
            <w:r w:rsidR="00D4595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plánované</w:t>
            </w:r>
          </w:p>
          <w:p w:rsidR="0091082E" w:rsidRPr="00E1273C" w:rsidRDefault="0091082E" w:rsidP="0055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 harmonograme</w:t>
            </w:r>
          </w:p>
          <w:p w:rsidR="0091082E" w:rsidRPr="00E1273C" w:rsidRDefault="0091082E" w:rsidP="0055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(tab. 3)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91082E" w:rsidRPr="00E1273C" w:rsidRDefault="0091082E" w:rsidP="0055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Nedostatok prostriedkov</w:t>
            </w:r>
          </w:p>
          <w:p w:rsidR="0091082E" w:rsidRPr="00E1273C" w:rsidRDefault="0091082E" w:rsidP="0055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6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91082E" w:rsidRPr="00E1273C" w:rsidRDefault="0091082E" w:rsidP="0055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Návrh </w:t>
            </w:r>
          </w:p>
          <w:p w:rsidR="0091082E" w:rsidRPr="00E1273C" w:rsidRDefault="0091082E" w:rsidP="0055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zmeny OP KŽP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91082E" w:rsidRPr="00E1273C" w:rsidRDefault="0091082E" w:rsidP="0055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Zostatok disponibilných zdrojov po návrhu</w:t>
            </w:r>
          </w:p>
        </w:tc>
      </w:tr>
      <w:tr w:rsidR="006B10A5" w:rsidRPr="000E1988" w:rsidTr="00E1273C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82E" w:rsidRPr="00E1273C" w:rsidRDefault="0091082E" w:rsidP="0055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A</w:t>
            </w:r>
          </w:p>
        </w:tc>
        <w:tc>
          <w:tcPr>
            <w:tcW w:w="16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82E" w:rsidRPr="00E1273C" w:rsidRDefault="0091082E" w:rsidP="0055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B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82E" w:rsidRPr="00E1273C" w:rsidRDefault="0091082E" w:rsidP="0055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C</w:t>
            </w:r>
          </w:p>
        </w:tc>
        <w:tc>
          <w:tcPr>
            <w:tcW w:w="19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82E" w:rsidRPr="00E1273C" w:rsidRDefault="0091082E" w:rsidP="0055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D</w:t>
            </w:r>
          </w:p>
        </w:tc>
        <w:tc>
          <w:tcPr>
            <w:tcW w:w="18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82E" w:rsidRPr="00E1273C" w:rsidRDefault="0091082E" w:rsidP="0055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E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1082E" w:rsidRPr="00E1273C" w:rsidRDefault="0091082E" w:rsidP="0055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F = B – C – D - E</w:t>
            </w:r>
          </w:p>
        </w:tc>
        <w:tc>
          <w:tcPr>
            <w:tcW w:w="16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82E" w:rsidRPr="00E1273C" w:rsidRDefault="0091082E" w:rsidP="0055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G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82E" w:rsidRPr="00E1273C" w:rsidRDefault="0091082E" w:rsidP="0055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E1273C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H = G – C - D - E</w:t>
            </w:r>
          </w:p>
        </w:tc>
      </w:tr>
      <w:tr w:rsidR="006B10A5" w:rsidRPr="000E1988" w:rsidTr="00E1273C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16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145 810 087  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76 597 505   </w:t>
            </w:r>
          </w:p>
        </w:tc>
        <w:tc>
          <w:tcPr>
            <w:tcW w:w="19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85 413 791   </w:t>
            </w:r>
          </w:p>
        </w:tc>
        <w:tc>
          <w:tcPr>
            <w:tcW w:w="18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72</w:t>
            </w: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 030 000   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k-SK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k-SK"/>
              </w:rPr>
              <w:t>88</w:t>
            </w:r>
            <w:r w:rsidRPr="000E198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k-SK"/>
              </w:rPr>
              <w:t xml:space="preserve"> 231 209   </w:t>
            </w:r>
          </w:p>
        </w:tc>
        <w:tc>
          <w:tcPr>
            <w:tcW w:w="16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234</w:t>
            </w: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 041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300</w:t>
            </w: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  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</w:t>
            </w: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    </w:t>
            </w:r>
          </w:p>
        </w:tc>
      </w:tr>
      <w:tr w:rsidR="006B10A5" w:rsidRPr="000E1988" w:rsidTr="00E1273C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5 357 517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3 568 300   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5 328 923   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7 386 667   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k-SK"/>
              </w:rPr>
              <w:t xml:space="preserve">- 10 926 373   </w:t>
            </w:r>
          </w:p>
        </w:tc>
        <w:tc>
          <w:tcPr>
            <w:tcW w:w="16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16 283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90</w:t>
            </w: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</w:t>
            </w: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    </w:t>
            </w:r>
          </w:p>
        </w:tc>
      </w:tr>
      <w:tr w:rsidR="006B10A5" w:rsidRPr="000E1988" w:rsidTr="00E1273C">
        <w:trPr>
          <w:trHeight w:val="315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251 715 162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-     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127 255 119   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10 165 461   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114 294 582   </w:t>
            </w:r>
          </w:p>
        </w:tc>
        <w:tc>
          <w:tcPr>
            <w:tcW w:w="1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152 557</w:t>
            </w: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 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66</w:t>
            </w: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15</w:t>
            </w: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 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</w:t>
            </w: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986</w:t>
            </w: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   </w:t>
            </w:r>
          </w:p>
        </w:tc>
      </w:tr>
      <w:tr w:rsidR="006B10A5" w:rsidRPr="000E1988" w:rsidTr="00E1273C">
        <w:trPr>
          <w:trHeight w:val="315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Spolu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402 882 766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 xml:space="preserve">80 165 805   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 xml:space="preserve">217 997 833   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>89</w:t>
            </w:r>
            <w:r w:rsidRPr="000E19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 xml:space="preserve"> 582 128   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>15</w:t>
            </w:r>
            <w:r w:rsidRPr="000E19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 xml:space="preserve"> 137 000   </w:t>
            </w:r>
          </w:p>
        </w:tc>
        <w:tc>
          <w:tcPr>
            <w:tcW w:w="1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 xml:space="preserve">402 882 766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 xml:space="preserve">30 137 000   </w:t>
            </w:r>
          </w:p>
        </w:tc>
      </w:tr>
      <w:tr w:rsidR="006B10A5" w:rsidRPr="000E1988" w:rsidTr="00E1273C">
        <w:trPr>
          <w:trHeight w:val="315"/>
        </w:trPr>
        <w:tc>
          <w:tcPr>
            <w:tcW w:w="31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Návrh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presunu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99 157 596</w:t>
            </w: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 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0E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82E" w:rsidRPr="000E1988" w:rsidRDefault="0091082E" w:rsidP="00556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</w:tbl>
    <w:p w:rsidR="00556CFA" w:rsidRPr="00E1273C" w:rsidRDefault="00556CFA" w:rsidP="00E1273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73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Návrh presunu finančných prostriedkov medzi oblasťami intervencie 017, 018 a 019:</w:t>
      </w:r>
    </w:p>
    <w:p w:rsidR="002177EA" w:rsidRPr="000E1988" w:rsidRDefault="00B834D7" w:rsidP="00E1273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988">
        <w:rPr>
          <w:rFonts w:ascii="Times New Roman" w:hAnsi="Times New Roman" w:cs="Times New Roman"/>
          <w:sz w:val="24"/>
          <w:szCs w:val="24"/>
        </w:rPr>
        <w:t>R</w:t>
      </w:r>
      <w:r w:rsidR="00E94987">
        <w:rPr>
          <w:rFonts w:ascii="Times New Roman" w:hAnsi="Times New Roman" w:cs="Times New Roman"/>
          <w:sz w:val="24"/>
          <w:szCs w:val="24"/>
        </w:rPr>
        <w:t>O</w:t>
      </w:r>
      <w:r w:rsidR="00D45952">
        <w:rPr>
          <w:rFonts w:ascii="Times New Roman" w:hAnsi="Times New Roman" w:cs="Times New Roman"/>
          <w:sz w:val="24"/>
          <w:szCs w:val="24"/>
        </w:rPr>
        <w:t xml:space="preserve"> pre OP KŽP </w:t>
      </w:r>
      <w:r w:rsidR="008E1790" w:rsidRPr="000E1988">
        <w:rPr>
          <w:rFonts w:ascii="Times New Roman" w:hAnsi="Times New Roman" w:cs="Times New Roman"/>
          <w:sz w:val="24"/>
          <w:szCs w:val="24"/>
        </w:rPr>
        <w:t xml:space="preserve">navrhuje </w:t>
      </w:r>
      <w:r w:rsidRPr="00037034">
        <w:rPr>
          <w:rFonts w:ascii="Times New Roman" w:hAnsi="Times New Roman" w:cs="Times New Roman"/>
          <w:b/>
          <w:sz w:val="24"/>
          <w:szCs w:val="24"/>
        </w:rPr>
        <w:t>znížiť alokáciu v oblasti intervencie 019 Nakladanie s komerčným, priemyselným, alebo nebezpečným odpadom o</w:t>
      </w:r>
      <w:r w:rsidR="00CD7753">
        <w:rPr>
          <w:rFonts w:ascii="Times New Roman" w:hAnsi="Times New Roman" w:cs="Times New Roman"/>
          <w:b/>
          <w:sz w:val="24"/>
          <w:szCs w:val="24"/>
        </w:rPr>
        <w:t> 99 157 596</w:t>
      </w:r>
      <w:r w:rsidR="008E1790" w:rsidRPr="000E1988">
        <w:rPr>
          <w:rFonts w:ascii="Times New Roman" w:hAnsi="Times New Roman" w:cs="Times New Roman"/>
          <w:b/>
          <w:sz w:val="24"/>
          <w:szCs w:val="24"/>
        </w:rPr>
        <w:t xml:space="preserve"> EUR</w:t>
      </w:r>
      <w:r w:rsidR="008E1790" w:rsidRPr="000E1988">
        <w:rPr>
          <w:rFonts w:ascii="Times New Roman" w:hAnsi="Times New Roman" w:cs="Times New Roman"/>
          <w:sz w:val="24"/>
          <w:szCs w:val="24"/>
        </w:rPr>
        <w:t xml:space="preserve"> </w:t>
      </w:r>
      <w:r w:rsidRPr="000E1988">
        <w:rPr>
          <w:rFonts w:ascii="Times New Roman" w:hAnsi="Times New Roman" w:cs="Times New Roman"/>
          <w:sz w:val="24"/>
          <w:szCs w:val="24"/>
        </w:rPr>
        <w:t xml:space="preserve">a tieto prostriedky presunúť </w:t>
      </w:r>
      <w:r w:rsidR="002177EA" w:rsidRPr="000E1988">
        <w:rPr>
          <w:rFonts w:ascii="Times New Roman" w:hAnsi="Times New Roman" w:cs="Times New Roman"/>
          <w:sz w:val="24"/>
          <w:szCs w:val="24"/>
        </w:rPr>
        <w:t>nasledovne:</w:t>
      </w:r>
    </w:p>
    <w:p w:rsidR="00E94987" w:rsidRDefault="00EF1178" w:rsidP="007E0A03">
      <w:pPr>
        <w:pStyle w:val="Odsekzoznamu"/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0E1988">
        <w:rPr>
          <w:rFonts w:eastAsiaTheme="minorHAnsi"/>
          <w:lang w:eastAsia="en-US"/>
        </w:rPr>
        <w:t xml:space="preserve">v sume </w:t>
      </w:r>
      <w:r w:rsidR="00CD7753">
        <w:rPr>
          <w:rFonts w:eastAsiaTheme="minorHAnsi"/>
          <w:b/>
          <w:lang w:eastAsia="en-US"/>
        </w:rPr>
        <w:t>88 231 213</w:t>
      </w:r>
      <w:r w:rsidRPr="000E1988">
        <w:rPr>
          <w:rFonts w:eastAsiaTheme="minorHAnsi"/>
          <w:b/>
          <w:lang w:eastAsia="en-US"/>
        </w:rPr>
        <w:t xml:space="preserve"> EUR </w:t>
      </w:r>
      <w:r w:rsidR="004A1D84">
        <w:rPr>
          <w:rFonts w:eastAsiaTheme="minorHAnsi"/>
          <w:b/>
          <w:lang w:eastAsia="en-US"/>
        </w:rPr>
        <w:t xml:space="preserve">navýšiť alokáciu </w:t>
      </w:r>
      <w:r w:rsidRPr="000E1988">
        <w:rPr>
          <w:rFonts w:eastAsiaTheme="minorHAnsi"/>
          <w:b/>
          <w:lang w:eastAsia="en-US"/>
        </w:rPr>
        <w:t xml:space="preserve">na </w:t>
      </w:r>
      <w:r w:rsidR="00B834D7" w:rsidRPr="00037034">
        <w:rPr>
          <w:rFonts w:eastAsiaTheme="minorHAnsi"/>
          <w:b/>
          <w:lang w:eastAsia="en-US"/>
        </w:rPr>
        <w:t xml:space="preserve">oblasť </w:t>
      </w:r>
      <w:r w:rsidR="008E1790" w:rsidRPr="00037034">
        <w:rPr>
          <w:rFonts w:eastAsiaTheme="minorHAnsi"/>
          <w:b/>
          <w:lang w:eastAsia="en-US"/>
        </w:rPr>
        <w:t>intervencie 017</w:t>
      </w:r>
      <w:r w:rsidR="008E1790" w:rsidRPr="000E1988">
        <w:rPr>
          <w:rFonts w:eastAsiaTheme="minorHAnsi"/>
          <w:lang w:eastAsia="en-US"/>
        </w:rPr>
        <w:t xml:space="preserve"> Nakladanie s domovým odpadom (vrátane opatrení na minimalizáciu, triedenie, recykláciu)</w:t>
      </w:r>
      <w:r w:rsidR="004A1D84">
        <w:rPr>
          <w:rFonts w:eastAsiaTheme="minorHAnsi"/>
          <w:lang w:eastAsia="en-US"/>
        </w:rPr>
        <w:t xml:space="preserve">, </w:t>
      </w:r>
    </w:p>
    <w:p w:rsidR="00580CC0" w:rsidRPr="00E94987" w:rsidRDefault="00EF1178" w:rsidP="00E1273C">
      <w:pPr>
        <w:pStyle w:val="Odsekzoznamu"/>
        <w:numPr>
          <w:ilvl w:val="0"/>
          <w:numId w:val="3"/>
        </w:numPr>
        <w:spacing w:after="120"/>
        <w:ind w:left="765" w:hanging="357"/>
        <w:contextualSpacing w:val="0"/>
        <w:jc w:val="both"/>
        <w:rPr>
          <w:rFonts w:eastAsiaTheme="minorHAnsi"/>
          <w:lang w:eastAsia="en-US"/>
        </w:rPr>
      </w:pPr>
      <w:r w:rsidRPr="00E94987">
        <w:rPr>
          <w:rFonts w:eastAsiaTheme="minorHAnsi"/>
          <w:lang w:eastAsia="en-US"/>
        </w:rPr>
        <w:t xml:space="preserve">v sume </w:t>
      </w:r>
      <w:r w:rsidRPr="00E94987">
        <w:rPr>
          <w:rFonts w:eastAsiaTheme="minorHAnsi"/>
          <w:b/>
          <w:lang w:eastAsia="en-US"/>
        </w:rPr>
        <w:t>10 926 </w:t>
      </w:r>
      <w:r w:rsidR="00CD7753" w:rsidRPr="00E94987">
        <w:rPr>
          <w:rFonts w:eastAsiaTheme="minorHAnsi"/>
          <w:b/>
          <w:lang w:eastAsia="en-US"/>
        </w:rPr>
        <w:t>3</w:t>
      </w:r>
      <w:r w:rsidR="00CD7753">
        <w:rPr>
          <w:rFonts w:eastAsiaTheme="minorHAnsi"/>
          <w:b/>
          <w:lang w:eastAsia="en-US"/>
        </w:rPr>
        <w:t>8</w:t>
      </w:r>
      <w:r w:rsidR="00CD7753" w:rsidRPr="00E94987">
        <w:rPr>
          <w:rFonts w:eastAsiaTheme="minorHAnsi"/>
          <w:b/>
          <w:lang w:eastAsia="en-US"/>
        </w:rPr>
        <w:t>3</w:t>
      </w:r>
      <w:r w:rsidR="00CD7753" w:rsidRPr="00E94987">
        <w:rPr>
          <w:rFonts w:eastAsiaTheme="minorHAnsi"/>
          <w:lang w:eastAsia="en-US"/>
        </w:rPr>
        <w:t xml:space="preserve"> </w:t>
      </w:r>
      <w:r w:rsidRPr="00E94987">
        <w:rPr>
          <w:rFonts w:eastAsiaTheme="minorHAnsi"/>
          <w:b/>
          <w:lang w:eastAsia="en-US"/>
        </w:rPr>
        <w:t>EUR</w:t>
      </w:r>
      <w:r w:rsidRPr="00E94987">
        <w:rPr>
          <w:rFonts w:eastAsiaTheme="minorHAnsi"/>
          <w:lang w:eastAsia="en-US"/>
        </w:rPr>
        <w:t xml:space="preserve"> </w:t>
      </w:r>
      <w:r w:rsidRPr="00037034">
        <w:rPr>
          <w:rFonts w:eastAsiaTheme="minorHAnsi"/>
          <w:b/>
          <w:lang w:eastAsia="en-US"/>
        </w:rPr>
        <w:t>n</w:t>
      </w:r>
      <w:r w:rsidR="008E1790" w:rsidRPr="00037034">
        <w:rPr>
          <w:rFonts w:eastAsiaTheme="minorHAnsi"/>
          <w:b/>
          <w:lang w:eastAsia="en-US"/>
        </w:rPr>
        <w:t>a</w:t>
      </w:r>
      <w:r w:rsidR="004A1D84">
        <w:rPr>
          <w:rFonts w:eastAsiaTheme="minorHAnsi"/>
          <w:b/>
          <w:lang w:eastAsia="en-US"/>
        </w:rPr>
        <w:t xml:space="preserve">výšiť alokáciu na </w:t>
      </w:r>
      <w:r w:rsidR="00B834D7" w:rsidRPr="00037034">
        <w:rPr>
          <w:rFonts w:eastAsiaTheme="minorHAnsi"/>
          <w:b/>
          <w:lang w:eastAsia="en-US"/>
        </w:rPr>
        <w:t>oblasť</w:t>
      </w:r>
      <w:r w:rsidR="008E1790" w:rsidRPr="00037034">
        <w:rPr>
          <w:rFonts w:eastAsiaTheme="minorHAnsi"/>
          <w:b/>
          <w:lang w:eastAsia="en-US"/>
        </w:rPr>
        <w:t xml:space="preserve"> intervencie 018</w:t>
      </w:r>
      <w:r w:rsidR="008E1790" w:rsidRPr="00E94987">
        <w:rPr>
          <w:rFonts w:eastAsiaTheme="minorHAnsi"/>
          <w:lang w:eastAsia="en-US"/>
        </w:rPr>
        <w:t> Nakladanie s domovým odpadom (vrátane opatrení na mechanické biologické spracovanie, tepelné spracovanie, spaľovanie a skládkovanie)</w:t>
      </w:r>
      <w:r w:rsidR="002177EA" w:rsidRPr="00E94987">
        <w:rPr>
          <w:rFonts w:eastAsiaTheme="minorHAnsi"/>
          <w:lang w:eastAsia="en-US"/>
        </w:rPr>
        <w:t>.</w:t>
      </w:r>
    </w:p>
    <w:p w:rsidR="008943FF" w:rsidRPr="000E1988" w:rsidRDefault="00E94987" w:rsidP="008943F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Presunom</w:t>
      </w:r>
      <w:r w:rsidR="0086103B" w:rsidRPr="000E1988">
        <w:rPr>
          <w:rFonts w:ascii="Times New Roman" w:hAnsi="Times New Roman" w:cs="Times New Roman"/>
          <w:sz w:val="24"/>
          <w:szCs w:val="24"/>
        </w:rPr>
        <w:t xml:space="preserve"> finančných prostriedkov medzi oblasťami intervencie 017, 018 a 019 nedochádza k zníženiu celkovej alokácie vyčlenenej na oblasť odpadového hospodárstva v OP KŽP</w:t>
      </w:r>
      <w:r w:rsidR="009B3AA1" w:rsidRPr="000E1988">
        <w:rPr>
          <w:rFonts w:ascii="Times New Roman" w:hAnsi="Times New Roman" w:cs="Times New Roman"/>
          <w:sz w:val="24"/>
          <w:szCs w:val="24"/>
        </w:rPr>
        <w:t xml:space="preserve"> (tabuľka č.</w:t>
      </w:r>
      <w:r w:rsidR="00556CFA">
        <w:rPr>
          <w:rFonts w:ascii="Times New Roman" w:hAnsi="Times New Roman" w:cs="Times New Roman"/>
          <w:sz w:val="24"/>
          <w:szCs w:val="24"/>
        </w:rPr>
        <w:t xml:space="preserve"> </w:t>
      </w:r>
      <w:r w:rsidR="009B3AA1" w:rsidRPr="000E1988">
        <w:rPr>
          <w:rFonts w:ascii="Times New Roman" w:hAnsi="Times New Roman" w:cs="Times New Roman"/>
          <w:sz w:val="24"/>
          <w:szCs w:val="24"/>
        </w:rPr>
        <w:t>4 stĺpec B a G)</w:t>
      </w:r>
      <w:r w:rsidR="0086103B" w:rsidRPr="000E1988">
        <w:rPr>
          <w:rFonts w:ascii="Times New Roman" w:hAnsi="Times New Roman" w:cs="Times New Roman"/>
          <w:sz w:val="24"/>
          <w:szCs w:val="24"/>
        </w:rPr>
        <w:t xml:space="preserve">. </w:t>
      </w:r>
      <w:r w:rsidR="0086103B" w:rsidRPr="00037034">
        <w:rPr>
          <w:rFonts w:ascii="Times New Roman" w:hAnsi="Times New Roman" w:cs="Times New Roman"/>
          <w:b/>
          <w:sz w:val="24"/>
          <w:szCs w:val="24"/>
        </w:rPr>
        <w:t xml:space="preserve">Zároveň </w:t>
      </w:r>
      <w:r>
        <w:rPr>
          <w:rFonts w:ascii="Times New Roman" w:hAnsi="Times New Roman" w:cs="Times New Roman"/>
          <w:b/>
          <w:sz w:val="24"/>
          <w:szCs w:val="24"/>
        </w:rPr>
        <w:t>presun</w:t>
      </w:r>
      <w:r w:rsidR="0086103B" w:rsidRPr="00037034">
        <w:rPr>
          <w:rFonts w:ascii="Times New Roman" w:hAnsi="Times New Roman" w:cs="Times New Roman"/>
          <w:b/>
          <w:sz w:val="24"/>
          <w:szCs w:val="24"/>
        </w:rPr>
        <w:t xml:space="preserve"> nebude mať negatívny dopad na plnenie cieľových hodnôt ukazovateľov</w:t>
      </w:r>
      <w:r w:rsidR="0086103B" w:rsidRPr="000E1988">
        <w:rPr>
          <w:rFonts w:ascii="Times New Roman" w:hAnsi="Times New Roman" w:cs="Times New Roman"/>
          <w:sz w:val="24"/>
          <w:szCs w:val="24"/>
        </w:rPr>
        <w:t xml:space="preserve">, </w:t>
      </w:r>
      <w:r w:rsidR="00640F8A">
        <w:rPr>
          <w:rFonts w:ascii="Times New Roman" w:hAnsi="Times New Roman" w:cs="Times New Roman"/>
          <w:sz w:val="24"/>
          <w:szCs w:val="24"/>
        </w:rPr>
        <w:t>keďže</w:t>
      </w:r>
      <w:r w:rsidR="0086103B" w:rsidRPr="000E1988">
        <w:rPr>
          <w:rFonts w:ascii="Times New Roman" w:hAnsi="Times New Roman" w:cs="Times New Roman"/>
          <w:sz w:val="24"/>
          <w:szCs w:val="24"/>
        </w:rPr>
        <w:t xml:space="preserve"> ukazovateľ „Zvýšená kapacita pre triedenie komunálnych odpadov“ je napĺňaný prostredníctvom projektov spadajúcich do obla</w:t>
      </w:r>
      <w:r w:rsidR="00C46A24" w:rsidRPr="000E1988">
        <w:rPr>
          <w:rFonts w:ascii="Times New Roman" w:hAnsi="Times New Roman" w:cs="Times New Roman"/>
          <w:sz w:val="24"/>
          <w:szCs w:val="24"/>
        </w:rPr>
        <w:t>sti intervencie 017 a ukazovatele</w:t>
      </w:r>
      <w:r w:rsidR="0086103B" w:rsidRPr="000E1988">
        <w:rPr>
          <w:rFonts w:ascii="Times New Roman" w:hAnsi="Times New Roman" w:cs="Times New Roman"/>
          <w:sz w:val="24"/>
          <w:szCs w:val="24"/>
        </w:rPr>
        <w:t xml:space="preserve"> „Zvýšená kapacita pre zhodnocovanie odpadov“</w:t>
      </w:r>
      <w:r w:rsidR="00C46A24" w:rsidRPr="000E1988">
        <w:rPr>
          <w:rFonts w:ascii="Times New Roman" w:hAnsi="Times New Roman" w:cs="Times New Roman"/>
          <w:sz w:val="24"/>
          <w:szCs w:val="24"/>
        </w:rPr>
        <w:t xml:space="preserve"> a „Zvýšená kapacita recyklácie odpadov“</w:t>
      </w:r>
      <w:r w:rsidR="0086103B" w:rsidRPr="000E1988">
        <w:rPr>
          <w:rFonts w:ascii="Times New Roman" w:hAnsi="Times New Roman" w:cs="Times New Roman"/>
          <w:sz w:val="24"/>
          <w:szCs w:val="24"/>
        </w:rPr>
        <w:t xml:space="preserve"> </w:t>
      </w:r>
      <w:r w:rsidR="00C46A24" w:rsidRPr="000E1988">
        <w:rPr>
          <w:rFonts w:ascii="Times New Roman" w:hAnsi="Times New Roman" w:cs="Times New Roman"/>
          <w:sz w:val="24"/>
          <w:szCs w:val="24"/>
        </w:rPr>
        <w:t>sú</w:t>
      </w:r>
      <w:r w:rsidR="0086103B" w:rsidRPr="000E1988">
        <w:rPr>
          <w:rFonts w:ascii="Times New Roman" w:hAnsi="Times New Roman" w:cs="Times New Roman"/>
          <w:sz w:val="24"/>
          <w:szCs w:val="24"/>
        </w:rPr>
        <w:t xml:space="preserve"> </w:t>
      </w:r>
      <w:r w:rsidR="00C46A24" w:rsidRPr="000E1988">
        <w:rPr>
          <w:rFonts w:ascii="Times New Roman" w:hAnsi="Times New Roman" w:cs="Times New Roman"/>
          <w:sz w:val="24"/>
          <w:szCs w:val="24"/>
        </w:rPr>
        <w:t>napĺňané</w:t>
      </w:r>
      <w:r w:rsidR="0086103B" w:rsidRPr="000E1988">
        <w:rPr>
          <w:rFonts w:ascii="Times New Roman" w:hAnsi="Times New Roman" w:cs="Times New Roman"/>
          <w:sz w:val="24"/>
          <w:szCs w:val="24"/>
        </w:rPr>
        <w:t xml:space="preserve"> projektmi spadajúcimi do všetkých troch oblastí intervencií.</w:t>
      </w:r>
      <w:r w:rsidR="00F04980" w:rsidRPr="000E19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7F0E" w:rsidRDefault="008615C5" w:rsidP="00E127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Pokiaľ ide o aktuálne informácie ohľadom </w:t>
      </w:r>
      <w:r w:rsidRPr="002858DA">
        <w:rPr>
          <w:rFonts w:ascii="Times New Roman" w:hAnsi="Times New Roman" w:cs="Times New Roman"/>
          <w:sz w:val="24"/>
          <w:szCs w:val="24"/>
        </w:rPr>
        <w:t xml:space="preserve">predpokladu napĺňania cieľových hodnôt vyššie uvedených ukazovateľov, v prípade ukazovateľa „Zvýšená kapacita pre triedenie komunálnych odpadov“ </w:t>
      </w:r>
      <w:r w:rsidR="00A82892" w:rsidRPr="002858DA">
        <w:rPr>
          <w:rFonts w:ascii="Times New Roman" w:hAnsi="Times New Roman" w:cs="Times New Roman"/>
          <w:sz w:val="24"/>
          <w:szCs w:val="24"/>
        </w:rPr>
        <w:t>s cieľovou hodnotou 21 579 t/rok</w:t>
      </w:r>
      <w:r w:rsidRPr="002858DA">
        <w:rPr>
          <w:rFonts w:ascii="Times New Roman" w:hAnsi="Times New Roman" w:cs="Times New Roman"/>
          <w:sz w:val="24"/>
          <w:szCs w:val="24"/>
        </w:rPr>
        <w:t xml:space="preserve">  </w:t>
      </w:r>
      <w:r w:rsidR="002C5D74" w:rsidRPr="002858DA">
        <w:rPr>
          <w:rFonts w:ascii="Times New Roman" w:hAnsi="Times New Roman" w:cs="Times New Roman"/>
          <w:sz w:val="24"/>
          <w:szCs w:val="24"/>
        </w:rPr>
        <w:t>by</w:t>
      </w:r>
      <w:r w:rsidRPr="002858DA">
        <w:rPr>
          <w:rFonts w:ascii="Times New Roman" w:hAnsi="Times New Roman" w:cs="Times New Roman"/>
          <w:sz w:val="24"/>
          <w:szCs w:val="24"/>
        </w:rPr>
        <w:t xml:space="preserve"> </w:t>
      </w:r>
      <w:r w:rsidR="00A82892" w:rsidRPr="002858DA">
        <w:rPr>
          <w:rFonts w:ascii="Times New Roman" w:hAnsi="Times New Roman" w:cs="Times New Roman"/>
          <w:sz w:val="24"/>
          <w:szCs w:val="24"/>
        </w:rPr>
        <w:t>n</w:t>
      </w:r>
      <w:r w:rsidR="00F04980" w:rsidRPr="002858DA">
        <w:rPr>
          <w:rFonts w:ascii="Times New Roman" w:hAnsi="Times New Roman" w:cs="Times New Roman"/>
          <w:sz w:val="24"/>
          <w:szCs w:val="24"/>
        </w:rPr>
        <w:t xml:space="preserve">a základe zazmluvnených projektov v rámci </w:t>
      </w:r>
      <w:r w:rsidR="002C5D74" w:rsidRPr="002858DA">
        <w:rPr>
          <w:rFonts w:ascii="Times New Roman" w:hAnsi="Times New Roman" w:cs="Times New Roman"/>
          <w:sz w:val="24"/>
          <w:szCs w:val="24"/>
        </w:rPr>
        <w:br/>
      </w:r>
      <w:r w:rsidR="00F04980" w:rsidRPr="002858DA">
        <w:rPr>
          <w:rFonts w:ascii="Times New Roman" w:hAnsi="Times New Roman" w:cs="Times New Roman"/>
          <w:sz w:val="24"/>
          <w:szCs w:val="24"/>
        </w:rPr>
        <w:t xml:space="preserve">10. a 11. výzvy </w:t>
      </w:r>
      <w:r w:rsidR="00A82892" w:rsidRPr="002858DA">
        <w:rPr>
          <w:rFonts w:ascii="Times New Roman" w:hAnsi="Times New Roman" w:cs="Times New Roman"/>
          <w:sz w:val="24"/>
          <w:szCs w:val="24"/>
        </w:rPr>
        <w:t>jeho</w:t>
      </w:r>
      <w:r w:rsidR="00F04980" w:rsidRPr="002858DA">
        <w:rPr>
          <w:rFonts w:ascii="Times New Roman" w:hAnsi="Times New Roman" w:cs="Times New Roman"/>
          <w:sz w:val="24"/>
          <w:szCs w:val="24"/>
        </w:rPr>
        <w:t xml:space="preserve"> cieľov</w:t>
      </w:r>
      <w:r w:rsidR="00E94987" w:rsidRPr="002858DA">
        <w:rPr>
          <w:rFonts w:ascii="Times New Roman" w:hAnsi="Times New Roman" w:cs="Times New Roman"/>
          <w:sz w:val="24"/>
          <w:szCs w:val="24"/>
        </w:rPr>
        <w:t>á</w:t>
      </w:r>
      <w:r w:rsidR="00F04980" w:rsidRPr="002858DA">
        <w:rPr>
          <w:rFonts w:ascii="Times New Roman" w:hAnsi="Times New Roman" w:cs="Times New Roman"/>
          <w:sz w:val="24"/>
          <w:szCs w:val="24"/>
        </w:rPr>
        <w:t xml:space="preserve"> hodnota</w:t>
      </w:r>
      <w:r w:rsidR="002C5D74" w:rsidRPr="002858DA">
        <w:rPr>
          <w:rFonts w:ascii="Times New Roman" w:hAnsi="Times New Roman" w:cs="Times New Roman"/>
          <w:sz w:val="24"/>
          <w:szCs w:val="24"/>
        </w:rPr>
        <w:t xml:space="preserve"> mohla  byť dvojnásobne prekročená. </w:t>
      </w:r>
      <w:r w:rsidR="00F04980" w:rsidRPr="002858DA">
        <w:rPr>
          <w:rFonts w:ascii="Times New Roman" w:hAnsi="Times New Roman" w:cs="Times New Roman"/>
          <w:sz w:val="24"/>
          <w:szCs w:val="24"/>
        </w:rPr>
        <w:t xml:space="preserve"> </w:t>
      </w:r>
      <w:r w:rsidR="002C5D74" w:rsidRPr="002858DA">
        <w:rPr>
          <w:rFonts w:ascii="Times New Roman" w:hAnsi="Times New Roman" w:cs="Times New Roman"/>
          <w:sz w:val="24"/>
          <w:szCs w:val="24"/>
        </w:rPr>
        <w:t>Na vysvetlenie je potrebné uviesť, že p</w:t>
      </w:r>
      <w:r w:rsidR="00F04980" w:rsidRPr="002858DA">
        <w:rPr>
          <w:rFonts w:ascii="Times New Roman" w:hAnsi="Times New Roman" w:cs="Times New Roman"/>
          <w:sz w:val="24"/>
          <w:szCs w:val="24"/>
        </w:rPr>
        <w:t>rekročenie cieľovej hodnoty je spôsobené zmenou legislatívnych podmienok v dobe po schválení</w:t>
      </w:r>
      <w:r w:rsidR="00F04980" w:rsidRPr="000E1988">
        <w:rPr>
          <w:rFonts w:ascii="Times New Roman" w:hAnsi="Times New Roman" w:cs="Times New Roman"/>
          <w:sz w:val="24"/>
          <w:szCs w:val="24"/>
        </w:rPr>
        <w:t xml:space="preserve"> operačného programu. Od 1. 1. </w:t>
      </w:r>
      <w:r w:rsidR="00C46A24" w:rsidRPr="000E1988">
        <w:rPr>
          <w:rFonts w:ascii="Times New Roman" w:hAnsi="Times New Roman" w:cs="Times New Roman"/>
          <w:sz w:val="24"/>
          <w:szCs w:val="24"/>
        </w:rPr>
        <w:t>2016</w:t>
      </w:r>
      <w:r w:rsidR="00F04980" w:rsidRPr="000E1988">
        <w:rPr>
          <w:rFonts w:ascii="Times New Roman" w:hAnsi="Times New Roman" w:cs="Times New Roman"/>
          <w:sz w:val="24"/>
          <w:szCs w:val="24"/>
        </w:rPr>
        <w:t xml:space="preserve"> v Slovenskej republike platí nový zákon č.</w:t>
      </w:r>
      <w:r w:rsidR="00BB6D4C" w:rsidRPr="000E1988">
        <w:rPr>
          <w:rFonts w:ascii="Times New Roman" w:hAnsi="Times New Roman" w:cs="Times New Roman"/>
          <w:sz w:val="24"/>
          <w:szCs w:val="24"/>
        </w:rPr>
        <w:t xml:space="preserve"> </w:t>
      </w:r>
      <w:r w:rsidR="00F04980" w:rsidRPr="000E1988">
        <w:rPr>
          <w:rFonts w:ascii="Times New Roman" w:hAnsi="Times New Roman" w:cs="Times New Roman"/>
          <w:sz w:val="24"/>
          <w:szCs w:val="24"/>
        </w:rPr>
        <w:t>79/2015 Z. z. o odpadoch a o zmene a doplnení niektorých zákonov. Nový zákon zmenil predovšetkým podmienky v oblasti triedenia komunálnych odpadov</w:t>
      </w:r>
      <w:r w:rsidR="00556CFA">
        <w:rPr>
          <w:rFonts w:ascii="Times New Roman" w:hAnsi="Times New Roman" w:cs="Times New Roman"/>
          <w:sz w:val="24"/>
          <w:szCs w:val="24"/>
        </w:rPr>
        <w:t>,</w:t>
      </w:r>
      <w:r w:rsidR="00F04980" w:rsidRPr="000E1988">
        <w:rPr>
          <w:rFonts w:ascii="Times New Roman" w:hAnsi="Times New Roman" w:cs="Times New Roman"/>
          <w:sz w:val="24"/>
          <w:szCs w:val="24"/>
        </w:rPr>
        <w:t xml:space="preserve"> a to zavedením princípu rozšírenej zodpovednosti výrobcov. Na základe uvedeného princípu už obce nenesú priamu zodpovednosť za nakladanie s</w:t>
      </w:r>
      <w:r w:rsidR="00BB6D4C" w:rsidRPr="000E1988">
        <w:rPr>
          <w:rFonts w:ascii="Times New Roman" w:hAnsi="Times New Roman" w:cs="Times New Roman"/>
          <w:sz w:val="24"/>
          <w:szCs w:val="24"/>
        </w:rPr>
        <w:t> </w:t>
      </w:r>
      <w:r w:rsidR="00F04980" w:rsidRPr="000E1988">
        <w:rPr>
          <w:rFonts w:ascii="Times New Roman" w:hAnsi="Times New Roman" w:cs="Times New Roman"/>
          <w:sz w:val="24"/>
          <w:szCs w:val="24"/>
        </w:rPr>
        <w:t>odpad</w:t>
      </w:r>
      <w:r w:rsidR="00556CFA">
        <w:rPr>
          <w:rFonts w:ascii="Times New Roman" w:hAnsi="Times New Roman" w:cs="Times New Roman"/>
          <w:sz w:val="24"/>
          <w:szCs w:val="24"/>
        </w:rPr>
        <w:t>mi</w:t>
      </w:r>
      <w:r w:rsidR="00BB6D4C" w:rsidRPr="000E1988">
        <w:rPr>
          <w:rFonts w:ascii="Times New Roman" w:hAnsi="Times New Roman" w:cs="Times New Roman"/>
          <w:sz w:val="24"/>
          <w:szCs w:val="24"/>
        </w:rPr>
        <w:t xml:space="preserve"> z </w:t>
      </w:r>
      <w:r w:rsidR="00F04980" w:rsidRPr="000E1988">
        <w:rPr>
          <w:rFonts w:ascii="Times New Roman" w:hAnsi="Times New Roman" w:cs="Times New Roman"/>
          <w:sz w:val="24"/>
          <w:szCs w:val="24"/>
        </w:rPr>
        <w:t>vyhradených výrobkov</w:t>
      </w:r>
      <w:r w:rsidR="00BB6D4C" w:rsidRPr="000E1988">
        <w:rPr>
          <w:rFonts w:ascii="Times New Roman" w:hAnsi="Times New Roman" w:cs="Times New Roman"/>
          <w:sz w:val="24"/>
          <w:szCs w:val="24"/>
        </w:rPr>
        <w:t>,</w:t>
      </w:r>
      <w:r w:rsidR="00F04980" w:rsidRPr="000E1988">
        <w:rPr>
          <w:rFonts w:ascii="Times New Roman" w:hAnsi="Times New Roman" w:cs="Times New Roman"/>
          <w:sz w:val="24"/>
          <w:szCs w:val="24"/>
        </w:rPr>
        <w:t xml:space="preserve"> medzi ktoré patria aj odpady z obalov z plastov, skla, kovov a papiera. Preto musela byť podpora zefektívňovania triedeného zberu komunálnych odpadov zameraná na iné zložky</w:t>
      </w:r>
      <w:r w:rsidR="008D3AC9">
        <w:rPr>
          <w:rFonts w:ascii="Times New Roman" w:hAnsi="Times New Roman" w:cs="Times New Roman"/>
          <w:sz w:val="24"/>
          <w:szCs w:val="24"/>
        </w:rPr>
        <w:t>,</w:t>
      </w:r>
      <w:r w:rsidR="00F04980" w:rsidRPr="000E1988">
        <w:rPr>
          <w:rFonts w:ascii="Times New Roman" w:hAnsi="Times New Roman" w:cs="Times New Roman"/>
          <w:sz w:val="24"/>
          <w:szCs w:val="24"/>
        </w:rPr>
        <w:t xml:space="preserve"> </w:t>
      </w:r>
      <w:r w:rsidR="008D3AC9">
        <w:rPr>
          <w:rFonts w:ascii="Times New Roman" w:hAnsi="Times New Roman" w:cs="Times New Roman"/>
          <w:sz w:val="24"/>
          <w:szCs w:val="24"/>
        </w:rPr>
        <w:t>než</w:t>
      </w:r>
      <w:r w:rsidR="00F04980" w:rsidRPr="000E1988">
        <w:rPr>
          <w:rFonts w:ascii="Times New Roman" w:hAnsi="Times New Roman" w:cs="Times New Roman"/>
          <w:sz w:val="24"/>
          <w:szCs w:val="24"/>
        </w:rPr>
        <w:t xml:space="preserve"> to</w:t>
      </w:r>
      <w:r w:rsidR="008D3AC9">
        <w:rPr>
          <w:rFonts w:ascii="Times New Roman" w:hAnsi="Times New Roman" w:cs="Times New Roman"/>
          <w:sz w:val="24"/>
          <w:szCs w:val="24"/>
        </w:rPr>
        <w:t>mu</w:t>
      </w:r>
      <w:r w:rsidR="00F04980" w:rsidRPr="000E1988">
        <w:rPr>
          <w:rFonts w:ascii="Times New Roman" w:hAnsi="Times New Roman" w:cs="Times New Roman"/>
          <w:sz w:val="24"/>
          <w:szCs w:val="24"/>
        </w:rPr>
        <w:t xml:space="preserve"> bolo v predchádzajúcom programovom období</w:t>
      </w:r>
      <w:r w:rsidR="003411F8">
        <w:rPr>
          <w:rFonts w:ascii="Times New Roman" w:hAnsi="Times New Roman" w:cs="Times New Roman"/>
          <w:sz w:val="24"/>
          <w:szCs w:val="24"/>
        </w:rPr>
        <w:t>. Preto v skutočnosti nedochádza k navyšovaniu existujúcich kapacít pre triedenie zložiek papier, plasty, sklo, kov, ale k vytváraniu nových kapacít na trieden</w:t>
      </w:r>
      <w:r w:rsidR="00297933">
        <w:rPr>
          <w:rFonts w:ascii="Times New Roman" w:hAnsi="Times New Roman" w:cs="Times New Roman"/>
          <w:sz w:val="24"/>
          <w:szCs w:val="24"/>
        </w:rPr>
        <w:t>ie</w:t>
      </w:r>
      <w:r w:rsidR="003411F8">
        <w:rPr>
          <w:rFonts w:ascii="Times New Roman" w:hAnsi="Times New Roman" w:cs="Times New Roman"/>
          <w:sz w:val="24"/>
          <w:szCs w:val="24"/>
        </w:rPr>
        <w:t xml:space="preserve"> tých zložiek komunálnych odpadov, ktoré v minulosti neboli </w:t>
      </w:r>
      <w:r w:rsidR="00297933">
        <w:rPr>
          <w:rFonts w:ascii="Times New Roman" w:hAnsi="Times New Roman" w:cs="Times New Roman"/>
          <w:sz w:val="24"/>
          <w:szCs w:val="24"/>
        </w:rPr>
        <w:t>triedené. Taktiež m</w:t>
      </w:r>
      <w:r w:rsidR="00E903E2" w:rsidRPr="000E1988">
        <w:rPr>
          <w:rFonts w:ascii="Times New Roman" w:hAnsi="Times New Roman" w:cs="Times New Roman"/>
          <w:sz w:val="24"/>
          <w:szCs w:val="24"/>
        </w:rPr>
        <w:t xml:space="preserve">etodika výpočtu cieľovej hodnoty </w:t>
      </w:r>
      <w:r w:rsidR="00297933">
        <w:rPr>
          <w:rFonts w:ascii="Times New Roman" w:hAnsi="Times New Roman" w:cs="Times New Roman"/>
          <w:sz w:val="24"/>
          <w:szCs w:val="24"/>
        </w:rPr>
        <w:t xml:space="preserve">uvedeného ukazovateľa </w:t>
      </w:r>
      <w:r w:rsidR="008D3AC9">
        <w:rPr>
          <w:rFonts w:ascii="Times New Roman" w:hAnsi="Times New Roman" w:cs="Times New Roman"/>
          <w:sz w:val="24"/>
          <w:szCs w:val="24"/>
        </w:rPr>
        <w:t xml:space="preserve">v rámci </w:t>
      </w:r>
      <w:r w:rsidR="00E903E2" w:rsidRPr="000E1988">
        <w:rPr>
          <w:rFonts w:ascii="Times New Roman" w:hAnsi="Times New Roman" w:cs="Times New Roman"/>
          <w:sz w:val="24"/>
          <w:szCs w:val="24"/>
        </w:rPr>
        <w:t>OP KŽP</w:t>
      </w:r>
      <w:r w:rsidR="00AA6D6E" w:rsidRPr="000E1988">
        <w:rPr>
          <w:rFonts w:ascii="Times New Roman" w:hAnsi="Times New Roman" w:cs="Times New Roman"/>
          <w:sz w:val="24"/>
          <w:szCs w:val="24"/>
        </w:rPr>
        <w:t xml:space="preserve"> </w:t>
      </w:r>
      <w:r w:rsidR="00CE5377">
        <w:rPr>
          <w:rFonts w:ascii="Times New Roman" w:hAnsi="Times New Roman" w:cs="Times New Roman"/>
          <w:sz w:val="24"/>
          <w:szCs w:val="24"/>
        </w:rPr>
        <w:t xml:space="preserve">vychádzala z </w:t>
      </w:r>
      <w:r w:rsidR="00AA6D6E" w:rsidRPr="000E1988">
        <w:rPr>
          <w:rFonts w:ascii="Times New Roman" w:hAnsi="Times New Roman" w:cs="Times New Roman"/>
          <w:sz w:val="24"/>
          <w:szCs w:val="24"/>
        </w:rPr>
        <w:t>investičnej náročnosti</w:t>
      </w:r>
      <w:r w:rsidR="00E903E2" w:rsidRPr="000E1988">
        <w:rPr>
          <w:rFonts w:ascii="Times New Roman" w:hAnsi="Times New Roman" w:cs="Times New Roman"/>
          <w:sz w:val="24"/>
          <w:szCs w:val="24"/>
        </w:rPr>
        <w:t xml:space="preserve"> realizovaných</w:t>
      </w:r>
      <w:r w:rsidR="00AA6D6E" w:rsidRPr="000E1988">
        <w:rPr>
          <w:rFonts w:ascii="Times New Roman" w:hAnsi="Times New Roman" w:cs="Times New Roman"/>
          <w:sz w:val="24"/>
          <w:szCs w:val="24"/>
        </w:rPr>
        <w:t xml:space="preserve"> projektov triedeného zberu zložiek komunálnych odpadov</w:t>
      </w:r>
      <w:r w:rsidR="00E903E2" w:rsidRPr="000E1988">
        <w:rPr>
          <w:rFonts w:ascii="Times New Roman" w:hAnsi="Times New Roman" w:cs="Times New Roman"/>
          <w:sz w:val="24"/>
          <w:szCs w:val="24"/>
        </w:rPr>
        <w:t xml:space="preserve"> financovaných z OP ŽP</w:t>
      </w:r>
      <w:r w:rsidR="00AA6D6E" w:rsidRPr="000E1988">
        <w:rPr>
          <w:rFonts w:ascii="Times New Roman" w:hAnsi="Times New Roman" w:cs="Times New Roman"/>
          <w:sz w:val="24"/>
          <w:szCs w:val="24"/>
        </w:rPr>
        <w:t xml:space="preserve"> (zameraných najmä na triedenie odpadov z plastov, papiera, skla a kovov) na jednu tonu vytriedeného odpadu. </w:t>
      </w:r>
      <w:r w:rsidR="00BB6D4C" w:rsidRPr="000E1988">
        <w:rPr>
          <w:rFonts w:ascii="Times New Roman" w:hAnsi="Times New Roman" w:cs="Times New Roman"/>
          <w:sz w:val="24"/>
          <w:szCs w:val="24"/>
        </w:rPr>
        <w:t xml:space="preserve">V súčasnosti je </w:t>
      </w:r>
      <w:r w:rsidR="00CE5377">
        <w:rPr>
          <w:rFonts w:ascii="Times New Roman" w:hAnsi="Times New Roman" w:cs="Times New Roman"/>
          <w:sz w:val="24"/>
          <w:szCs w:val="24"/>
        </w:rPr>
        <w:t xml:space="preserve">však </w:t>
      </w:r>
      <w:r w:rsidR="00BB6D4C" w:rsidRPr="000E1988">
        <w:rPr>
          <w:rFonts w:ascii="Times New Roman" w:hAnsi="Times New Roman" w:cs="Times New Roman"/>
          <w:sz w:val="24"/>
          <w:szCs w:val="24"/>
        </w:rPr>
        <w:t xml:space="preserve">podpora zameraná na triedený zber BRKO, drobného stavebného odpadu, veľkoobjemového odpadu, odpadových olejov atď. </w:t>
      </w:r>
      <w:r w:rsidR="00DF4E61">
        <w:rPr>
          <w:rFonts w:ascii="Times New Roman" w:hAnsi="Times New Roman" w:cs="Times New Roman"/>
          <w:sz w:val="24"/>
          <w:szCs w:val="24"/>
        </w:rPr>
        <w:t xml:space="preserve">Keďže </w:t>
      </w:r>
      <w:r w:rsidR="00BB6D4C" w:rsidRPr="000E1988">
        <w:rPr>
          <w:rFonts w:ascii="Times New Roman" w:hAnsi="Times New Roman" w:cs="Times New Roman"/>
          <w:sz w:val="24"/>
          <w:szCs w:val="24"/>
        </w:rPr>
        <w:t xml:space="preserve">objemová hmotnosť uvedených zložiek komunálnych odpadov je neporovnateľne vyššia ako odpadov z papiera, plastov alebo skla, suma cieľových hodnôt ukazovateľov projektov </w:t>
      </w:r>
      <w:r w:rsidR="00DF4E61">
        <w:rPr>
          <w:rFonts w:ascii="Times New Roman" w:hAnsi="Times New Roman" w:cs="Times New Roman"/>
          <w:sz w:val="24"/>
          <w:szCs w:val="24"/>
        </w:rPr>
        <w:t>zazmluvne</w:t>
      </w:r>
      <w:r w:rsidR="00BB6D4C" w:rsidRPr="000E1988">
        <w:rPr>
          <w:rFonts w:ascii="Times New Roman" w:hAnsi="Times New Roman" w:cs="Times New Roman"/>
          <w:sz w:val="24"/>
          <w:szCs w:val="24"/>
        </w:rPr>
        <w:t>ných v rámci 10</w:t>
      </w:r>
      <w:r w:rsidR="00E903E2" w:rsidRPr="000E1988">
        <w:rPr>
          <w:rFonts w:ascii="Times New Roman" w:hAnsi="Times New Roman" w:cs="Times New Roman"/>
          <w:sz w:val="24"/>
          <w:szCs w:val="24"/>
        </w:rPr>
        <w:t>.</w:t>
      </w:r>
      <w:r w:rsidR="00BB6D4C" w:rsidRPr="000E1988">
        <w:rPr>
          <w:rFonts w:ascii="Times New Roman" w:hAnsi="Times New Roman" w:cs="Times New Roman"/>
          <w:sz w:val="24"/>
          <w:szCs w:val="24"/>
        </w:rPr>
        <w:t xml:space="preserve"> a</w:t>
      </w:r>
      <w:r w:rsidR="00E903E2" w:rsidRPr="000E1988">
        <w:rPr>
          <w:rFonts w:ascii="Times New Roman" w:hAnsi="Times New Roman" w:cs="Times New Roman"/>
          <w:sz w:val="24"/>
          <w:szCs w:val="24"/>
        </w:rPr>
        <w:t> </w:t>
      </w:r>
      <w:r w:rsidR="00BB6D4C" w:rsidRPr="000E1988">
        <w:rPr>
          <w:rFonts w:ascii="Times New Roman" w:hAnsi="Times New Roman" w:cs="Times New Roman"/>
          <w:sz w:val="24"/>
          <w:szCs w:val="24"/>
        </w:rPr>
        <w:t>11</w:t>
      </w:r>
      <w:r w:rsidR="00E903E2" w:rsidRPr="000E1988">
        <w:rPr>
          <w:rFonts w:ascii="Times New Roman" w:hAnsi="Times New Roman" w:cs="Times New Roman"/>
          <w:sz w:val="24"/>
          <w:szCs w:val="24"/>
        </w:rPr>
        <w:t>.</w:t>
      </w:r>
      <w:r w:rsidR="00BB6D4C" w:rsidRPr="000E1988">
        <w:rPr>
          <w:rFonts w:ascii="Times New Roman" w:hAnsi="Times New Roman" w:cs="Times New Roman"/>
          <w:sz w:val="24"/>
          <w:szCs w:val="24"/>
        </w:rPr>
        <w:t xml:space="preserve"> výzvy prekračuje cieľovú hodnotu </w:t>
      </w:r>
      <w:r w:rsidR="00E903E2" w:rsidRPr="000E1988">
        <w:rPr>
          <w:rFonts w:ascii="Times New Roman" w:hAnsi="Times New Roman" w:cs="Times New Roman"/>
          <w:sz w:val="24"/>
          <w:szCs w:val="24"/>
        </w:rPr>
        <w:t>OP KŽP</w:t>
      </w:r>
      <w:r w:rsidR="00BB6D4C" w:rsidRPr="000E1988">
        <w:rPr>
          <w:rFonts w:ascii="Times New Roman" w:hAnsi="Times New Roman" w:cs="Times New Roman"/>
          <w:sz w:val="24"/>
          <w:szCs w:val="24"/>
        </w:rPr>
        <w:t xml:space="preserve">. </w:t>
      </w:r>
      <w:r w:rsidR="00226C54">
        <w:rPr>
          <w:rFonts w:ascii="Times New Roman" w:hAnsi="Times New Roman" w:cs="Times New Roman"/>
          <w:sz w:val="24"/>
          <w:szCs w:val="24"/>
        </w:rPr>
        <w:t>Ak vychádzame iba z</w:t>
      </w:r>
      <w:r w:rsidR="00E2545B" w:rsidRPr="000E1988">
        <w:rPr>
          <w:rFonts w:ascii="Times New Roman" w:hAnsi="Times New Roman" w:cs="Times New Roman"/>
          <w:sz w:val="24"/>
          <w:szCs w:val="24"/>
        </w:rPr>
        <w:t xml:space="preserve"> </w:t>
      </w:r>
      <w:r w:rsidR="00E2545B">
        <w:rPr>
          <w:rFonts w:ascii="Times New Roman" w:hAnsi="Times New Roman" w:cs="Times New Roman"/>
          <w:sz w:val="24"/>
          <w:szCs w:val="24"/>
        </w:rPr>
        <w:t xml:space="preserve">doposiaľ </w:t>
      </w:r>
      <w:r w:rsidR="00E2545B" w:rsidRPr="000E1988">
        <w:rPr>
          <w:rFonts w:ascii="Times New Roman" w:hAnsi="Times New Roman" w:cs="Times New Roman"/>
          <w:sz w:val="24"/>
          <w:szCs w:val="24"/>
        </w:rPr>
        <w:t>zazmluvnených projektov</w:t>
      </w:r>
      <w:r w:rsidR="00226C54">
        <w:rPr>
          <w:rFonts w:ascii="Times New Roman" w:hAnsi="Times New Roman" w:cs="Times New Roman"/>
          <w:sz w:val="24"/>
          <w:szCs w:val="24"/>
        </w:rPr>
        <w:t>,</w:t>
      </w:r>
      <w:r w:rsidR="003F69B9">
        <w:rPr>
          <w:rFonts w:ascii="Times New Roman" w:hAnsi="Times New Roman" w:cs="Times New Roman"/>
          <w:sz w:val="24"/>
          <w:szCs w:val="24"/>
        </w:rPr>
        <w:t xml:space="preserve"> predpokladaný</w:t>
      </w:r>
      <w:r w:rsidR="00E2545B">
        <w:rPr>
          <w:rFonts w:ascii="Times New Roman" w:hAnsi="Times New Roman" w:cs="Times New Roman"/>
          <w:sz w:val="24"/>
          <w:szCs w:val="24"/>
        </w:rPr>
        <w:t xml:space="preserve"> </w:t>
      </w:r>
      <w:r w:rsidR="0021463B">
        <w:rPr>
          <w:rFonts w:ascii="Times New Roman" w:hAnsi="Times New Roman" w:cs="Times New Roman"/>
          <w:sz w:val="24"/>
          <w:szCs w:val="24"/>
        </w:rPr>
        <w:t xml:space="preserve">stav napĺňania </w:t>
      </w:r>
      <w:r w:rsidR="00E2545B">
        <w:rPr>
          <w:rFonts w:ascii="Times New Roman" w:hAnsi="Times New Roman" w:cs="Times New Roman"/>
          <w:sz w:val="24"/>
          <w:szCs w:val="24"/>
        </w:rPr>
        <w:t>c</w:t>
      </w:r>
      <w:r w:rsidR="00C46A24" w:rsidRPr="000E1988">
        <w:rPr>
          <w:rFonts w:ascii="Times New Roman" w:hAnsi="Times New Roman" w:cs="Times New Roman"/>
          <w:sz w:val="24"/>
          <w:szCs w:val="24"/>
        </w:rPr>
        <w:t>ieľov</w:t>
      </w:r>
      <w:r w:rsidR="0021463B">
        <w:rPr>
          <w:rFonts w:ascii="Times New Roman" w:hAnsi="Times New Roman" w:cs="Times New Roman"/>
          <w:sz w:val="24"/>
          <w:szCs w:val="24"/>
        </w:rPr>
        <w:t>ej</w:t>
      </w:r>
      <w:r w:rsidR="00C46A24" w:rsidRPr="000E1988">
        <w:rPr>
          <w:rFonts w:ascii="Times New Roman" w:hAnsi="Times New Roman" w:cs="Times New Roman"/>
          <w:sz w:val="24"/>
          <w:szCs w:val="24"/>
        </w:rPr>
        <w:t xml:space="preserve"> hodnot</w:t>
      </w:r>
      <w:r w:rsidR="0021463B">
        <w:rPr>
          <w:rFonts w:ascii="Times New Roman" w:hAnsi="Times New Roman" w:cs="Times New Roman"/>
          <w:sz w:val="24"/>
          <w:szCs w:val="24"/>
        </w:rPr>
        <w:t>y</w:t>
      </w:r>
      <w:r w:rsidR="00C46A24" w:rsidRPr="000E1988">
        <w:rPr>
          <w:rFonts w:ascii="Times New Roman" w:hAnsi="Times New Roman" w:cs="Times New Roman"/>
          <w:sz w:val="24"/>
          <w:szCs w:val="24"/>
        </w:rPr>
        <w:t xml:space="preserve"> ukazovateľ</w:t>
      </w:r>
      <w:r w:rsidR="00E2545B">
        <w:rPr>
          <w:rFonts w:ascii="Times New Roman" w:hAnsi="Times New Roman" w:cs="Times New Roman"/>
          <w:sz w:val="24"/>
          <w:szCs w:val="24"/>
        </w:rPr>
        <w:t>a</w:t>
      </w:r>
      <w:r w:rsidR="00C46A24" w:rsidRPr="000E1988">
        <w:rPr>
          <w:rFonts w:ascii="Times New Roman" w:hAnsi="Times New Roman" w:cs="Times New Roman"/>
          <w:sz w:val="24"/>
          <w:szCs w:val="24"/>
        </w:rPr>
        <w:t xml:space="preserve"> „Zvýšená kapacita pre zhodnocovanie odpadov“ </w:t>
      </w:r>
      <w:r w:rsidR="00226C54">
        <w:rPr>
          <w:rFonts w:ascii="Times New Roman" w:hAnsi="Times New Roman" w:cs="Times New Roman"/>
          <w:sz w:val="24"/>
          <w:szCs w:val="24"/>
        </w:rPr>
        <w:t xml:space="preserve"> sa pohybuje na</w:t>
      </w:r>
      <w:r w:rsidR="00C46A24" w:rsidRPr="000E1988">
        <w:rPr>
          <w:rFonts w:ascii="Times New Roman" w:hAnsi="Times New Roman" w:cs="Times New Roman"/>
          <w:sz w:val="24"/>
          <w:szCs w:val="24"/>
        </w:rPr>
        <w:t xml:space="preserve"> úrov</w:t>
      </w:r>
      <w:r w:rsidR="00226C54">
        <w:rPr>
          <w:rFonts w:ascii="Times New Roman" w:hAnsi="Times New Roman" w:cs="Times New Roman"/>
          <w:sz w:val="24"/>
          <w:szCs w:val="24"/>
        </w:rPr>
        <w:t>ni</w:t>
      </w:r>
      <w:r w:rsidR="00C46A24" w:rsidRPr="000E1988">
        <w:rPr>
          <w:rFonts w:ascii="Times New Roman" w:hAnsi="Times New Roman" w:cs="Times New Roman"/>
          <w:sz w:val="24"/>
          <w:szCs w:val="24"/>
        </w:rPr>
        <w:t xml:space="preserve"> </w:t>
      </w:r>
      <w:r w:rsidR="0021463B">
        <w:rPr>
          <w:rFonts w:ascii="Times New Roman" w:hAnsi="Times New Roman" w:cs="Times New Roman"/>
          <w:sz w:val="24"/>
          <w:szCs w:val="24"/>
        </w:rPr>
        <w:t>3</w:t>
      </w:r>
      <w:r w:rsidR="00C46A24" w:rsidRPr="000E1988">
        <w:rPr>
          <w:rFonts w:ascii="Times New Roman" w:hAnsi="Times New Roman" w:cs="Times New Roman"/>
          <w:sz w:val="24"/>
          <w:szCs w:val="24"/>
        </w:rPr>
        <w:t>0 %</w:t>
      </w:r>
      <w:r w:rsidR="00760D9E">
        <w:rPr>
          <w:rFonts w:ascii="Times New Roman" w:hAnsi="Times New Roman" w:cs="Times New Roman"/>
          <w:sz w:val="24"/>
          <w:szCs w:val="24"/>
        </w:rPr>
        <w:t xml:space="preserve"> </w:t>
      </w:r>
      <w:r w:rsidR="0021463B">
        <w:rPr>
          <w:rFonts w:ascii="Times New Roman" w:hAnsi="Times New Roman" w:cs="Times New Roman"/>
          <w:sz w:val="24"/>
          <w:szCs w:val="24"/>
        </w:rPr>
        <w:t xml:space="preserve"> a </w:t>
      </w:r>
      <w:r w:rsidR="00C46A24" w:rsidRPr="000E1988">
        <w:rPr>
          <w:rFonts w:ascii="Times New Roman" w:hAnsi="Times New Roman" w:cs="Times New Roman"/>
          <w:sz w:val="24"/>
          <w:szCs w:val="24"/>
        </w:rPr>
        <w:t>ukazovate</w:t>
      </w:r>
      <w:r w:rsidR="00E2545B">
        <w:rPr>
          <w:rFonts w:ascii="Times New Roman" w:hAnsi="Times New Roman" w:cs="Times New Roman"/>
          <w:sz w:val="24"/>
          <w:szCs w:val="24"/>
        </w:rPr>
        <w:t>ľa</w:t>
      </w:r>
      <w:r w:rsidR="00C46A24" w:rsidRPr="000E1988">
        <w:rPr>
          <w:rFonts w:ascii="Times New Roman" w:hAnsi="Times New Roman" w:cs="Times New Roman"/>
          <w:sz w:val="24"/>
          <w:szCs w:val="24"/>
        </w:rPr>
        <w:t xml:space="preserve"> „Zvýšená kapacita recyklácie odpadov“</w:t>
      </w:r>
      <w:r w:rsidR="00E2545B">
        <w:rPr>
          <w:rFonts w:ascii="Times New Roman" w:hAnsi="Times New Roman" w:cs="Times New Roman"/>
          <w:sz w:val="24"/>
          <w:szCs w:val="24"/>
        </w:rPr>
        <w:t xml:space="preserve"> </w:t>
      </w:r>
      <w:r w:rsidR="0021463B">
        <w:rPr>
          <w:rFonts w:ascii="Times New Roman" w:hAnsi="Times New Roman" w:cs="Times New Roman"/>
          <w:sz w:val="24"/>
          <w:szCs w:val="24"/>
        </w:rPr>
        <w:t xml:space="preserve"> na úrovni 16</w:t>
      </w:r>
      <w:r w:rsidR="00E2545B">
        <w:rPr>
          <w:rFonts w:ascii="Times New Roman" w:hAnsi="Times New Roman" w:cs="Times New Roman"/>
          <w:sz w:val="24"/>
          <w:szCs w:val="24"/>
        </w:rPr>
        <w:t xml:space="preserve"> %, avšak na tieto aktivity </w:t>
      </w:r>
      <w:r w:rsidR="00533BD4">
        <w:rPr>
          <w:rFonts w:ascii="Times New Roman" w:hAnsi="Times New Roman" w:cs="Times New Roman"/>
          <w:sz w:val="24"/>
          <w:szCs w:val="24"/>
        </w:rPr>
        <w:t xml:space="preserve">sú ešte otvorené výzvy (s celkovou alokáciou 140 mil. EUR) a plánované ďalšie výzvy (s celkovou alokáciou 50 mil. EUR), čo vytvára predpoklad, že plnenie hodnôt uvedených ukazovateľov bude </w:t>
      </w:r>
      <w:r w:rsidR="008943FF">
        <w:rPr>
          <w:rFonts w:ascii="Times New Roman" w:hAnsi="Times New Roman" w:cs="Times New Roman"/>
          <w:sz w:val="24"/>
          <w:szCs w:val="24"/>
        </w:rPr>
        <w:t>postupne narastať.</w:t>
      </w:r>
    </w:p>
    <w:p w:rsidR="005E5FAF" w:rsidRPr="000E1988" w:rsidRDefault="00A62B4E" w:rsidP="007E0A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A82">
        <w:rPr>
          <w:rFonts w:ascii="Times New Roman" w:hAnsi="Times New Roman" w:cs="Times New Roman"/>
          <w:spacing w:val="-2"/>
          <w:sz w:val="24"/>
          <w:szCs w:val="24"/>
        </w:rPr>
        <w:lastRenderedPageBreak/>
        <w:t xml:space="preserve">RO pre OP KŽP navrhuje v zmysle uvedených skutočností presun finančných prostriedkov medzi oblasťami intervencií v rámci </w:t>
      </w:r>
      <w:r w:rsidRPr="008C1A82">
        <w:rPr>
          <w:rFonts w:ascii="Times New Roman" w:hAnsi="Times New Roman" w:cs="Times New Roman"/>
          <w:i/>
          <w:spacing w:val="-2"/>
          <w:sz w:val="24"/>
          <w:szCs w:val="24"/>
        </w:rPr>
        <w:t>investičnej priority 1 Investovanie do sektora odpadového hospodárstva s cieľom splniť požiadavky environmentálneho acquis Únie a pokryť potreby, ktoré členské štáty špecifikovali v súvislosti s investíciami nad rámec uvedených činností</w:t>
      </w:r>
      <w:r w:rsidRPr="008C1A82">
        <w:rPr>
          <w:rFonts w:ascii="Times New Roman" w:hAnsi="Times New Roman" w:cs="Times New Roman"/>
          <w:spacing w:val="-2"/>
          <w:sz w:val="24"/>
          <w:szCs w:val="24"/>
        </w:rPr>
        <w:t xml:space="preserve">, ktorej špecifickým cieľom je </w:t>
      </w:r>
      <w:r w:rsidRPr="008C1A82">
        <w:rPr>
          <w:rFonts w:ascii="Times New Roman" w:hAnsi="Times New Roman" w:cs="Times New Roman"/>
          <w:i/>
          <w:spacing w:val="-2"/>
          <w:sz w:val="24"/>
          <w:szCs w:val="24"/>
        </w:rPr>
        <w:t>Zvýšenie miery zhodnocovania odpadov so zameraním na ich prípravu na opätovné použitie a recykláciu a podpora predchádzania vzniku odpadov.</w:t>
      </w:r>
      <w:r w:rsidRPr="008C1A82">
        <w:rPr>
          <w:rFonts w:ascii="Times New Roman" w:hAnsi="Times New Roman" w:cs="Times New Roman"/>
          <w:spacing w:val="-2"/>
          <w:sz w:val="24"/>
          <w:szCs w:val="24"/>
        </w:rPr>
        <w:t xml:space="preserve"> Dopad presunu finančných prostriedkov medzi oblasťami intervencií s kódmi 017, 018, 019 na dosahovanie cieľov v oblasti odpadového hospodárstva bude pozitívny. Finančné prostriedky sa presunú z oblasti intervencie 019, ktorej alokácia bola pôvodne o 40 % vyššia než na oblasti intervencie 017 a 018, týkajúce sa komunálneho (tzv. domového odpadu). Finančné prostriedky budú využité práve na oblasti intervencie 017 a 018, kde bol zaznamenaný najvyšší záujem zo strany žiadateľov a kde je aj na základe akčných plánov rozvoja najmenej rozvinutých okresov zvýšená potreba finančných prostriedkov.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10775"/>
      </w:tblGrid>
      <w:tr w:rsidR="00977F0E" w:rsidTr="00E1273C">
        <w:tc>
          <w:tcPr>
            <w:tcW w:w="3369" w:type="dxa"/>
          </w:tcPr>
          <w:p w:rsidR="00977F0E" w:rsidRDefault="00977F0E" w:rsidP="00977F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Časť OP KŽP dotknutá zmenou</w:t>
            </w:r>
          </w:p>
        </w:tc>
        <w:tc>
          <w:tcPr>
            <w:tcW w:w="10775" w:type="dxa"/>
          </w:tcPr>
          <w:p w:rsidR="00977F0E" w:rsidRDefault="00977F0E" w:rsidP="00977F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2">
              <w:rPr>
                <w:rFonts w:ascii="Times New Roman" w:hAnsi="Times New Roman" w:cs="Times New Roman"/>
                <w:b/>
                <w:sz w:val="24"/>
                <w:szCs w:val="24"/>
              </w:rPr>
              <w:t>Navrhovaná zmena znenia Operačného programu Kvalita životného prostredia</w:t>
            </w:r>
          </w:p>
        </w:tc>
      </w:tr>
      <w:tr w:rsidR="00977F0E" w:rsidTr="00E1273C">
        <w:tc>
          <w:tcPr>
            <w:tcW w:w="3369" w:type="dxa"/>
          </w:tcPr>
          <w:p w:rsidR="00977F0E" w:rsidRDefault="000C120A" w:rsidP="00977F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988">
              <w:rPr>
                <w:rFonts w:ascii="Times New Roman" w:hAnsi="Times New Roman" w:cs="Times New Roman"/>
                <w:sz w:val="24"/>
                <w:szCs w:val="24"/>
              </w:rPr>
              <w:t>str.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988">
              <w:rPr>
                <w:rFonts w:ascii="Times New Roman" w:hAnsi="Times New Roman" w:cs="Times New Roman"/>
                <w:sz w:val="24"/>
                <w:szCs w:val="24"/>
              </w:rPr>
              <w:t>76, kapitola 2.1.6 Kategórie intervencie, tabuľka 18 Oblasť intervencie</w:t>
            </w:r>
          </w:p>
        </w:tc>
        <w:tc>
          <w:tcPr>
            <w:tcW w:w="10775" w:type="dxa"/>
          </w:tcPr>
          <w:p w:rsidR="000C120A" w:rsidRPr="008C1A82" w:rsidRDefault="000C120A" w:rsidP="000C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Pôvodná tabuľka:</w:t>
            </w:r>
          </w:p>
          <w:p w:rsidR="000C120A" w:rsidRPr="000E1988" w:rsidRDefault="000C120A" w:rsidP="000C120A">
            <w:pPr>
              <w:pStyle w:val="Popis"/>
              <w:keepNext/>
              <w:rPr>
                <w:sz w:val="24"/>
                <w:szCs w:val="24"/>
              </w:rPr>
            </w:pPr>
            <w:r w:rsidRPr="00037034">
              <w:rPr>
                <w:sz w:val="24"/>
                <w:szCs w:val="24"/>
              </w:rPr>
              <w:t xml:space="preserve">Tabuľka </w:t>
            </w:r>
            <w:r>
              <w:rPr>
                <w:sz w:val="24"/>
                <w:szCs w:val="24"/>
              </w:rPr>
              <w:t>18</w:t>
            </w:r>
            <w:r w:rsidRPr="00037034">
              <w:rPr>
                <w:sz w:val="24"/>
                <w:szCs w:val="24"/>
              </w:rPr>
              <w:t xml:space="preserve"> Oblasť intervencie</w:t>
            </w:r>
          </w:p>
          <w:tbl>
            <w:tblPr>
              <w:tblW w:w="456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ook w:val="01E0" w:firstRow="1" w:lastRow="1" w:firstColumn="1" w:lastColumn="1" w:noHBand="0" w:noVBand="0"/>
            </w:tblPr>
            <w:tblGrid>
              <w:gridCol w:w="5111"/>
              <w:gridCol w:w="1775"/>
              <w:gridCol w:w="2739"/>
            </w:tblGrid>
            <w:tr w:rsidR="000C120A" w:rsidRPr="000E1988" w:rsidTr="008C1A82">
              <w:trPr>
                <w:trHeight w:val="20"/>
              </w:trPr>
              <w:tc>
                <w:tcPr>
                  <w:tcW w:w="5000" w:type="pct"/>
                  <w:gridSpan w:val="3"/>
                  <w:shd w:val="clear" w:color="auto" w:fill="DBE5F1"/>
                  <w:vAlign w:val="center"/>
                </w:tcPr>
                <w:p w:rsidR="000C120A" w:rsidRPr="000E1988" w:rsidRDefault="000C120A" w:rsidP="000C120A">
                  <w:pPr>
                    <w:keepNext/>
                    <w:keepLines/>
                    <w:autoSpaceDE w:val="0"/>
                    <w:autoSpaceDN w:val="0"/>
                    <w:adjustRightInd w:val="0"/>
                    <w:spacing w:before="60"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en-GB"/>
                    </w:rPr>
                  </w:pPr>
                  <w:r w:rsidRPr="000E198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Dimenzia 1 – Oblasť intervencie</w:t>
                  </w:r>
                </w:p>
              </w:tc>
            </w:tr>
            <w:tr w:rsidR="000C120A" w:rsidRPr="000E1988" w:rsidTr="008C1A82">
              <w:trPr>
                <w:trHeight w:val="20"/>
              </w:trPr>
              <w:tc>
                <w:tcPr>
                  <w:tcW w:w="2655" w:type="pct"/>
                  <w:shd w:val="clear" w:color="auto" w:fill="DBE5F1"/>
                  <w:vAlign w:val="center"/>
                </w:tcPr>
                <w:p w:rsidR="000C120A" w:rsidRPr="000E1988" w:rsidRDefault="000C120A" w:rsidP="000C120A">
                  <w:pPr>
                    <w:keepNext/>
                    <w:keepLines/>
                    <w:autoSpaceDE w:val="0"/>
                    <w:autoSpaceDN w:val="0"/>
                    <w:adjustRightInd w:val="0"/>
                    <w:spacing w:before="60"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</w:pPr>
                  <w:r w:rsidRPr="000E198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>Fond</w:t>
                  </w:r>
                </w:p>
              </w:tc>
              <w:tc>
                <w:tcPr>
                  <w:tcW w:w="2345" w:type="pct"/>
                  <w:gridSpan w:val="2"/>
                  <w:shd w:val="clear" w:color="auto" w:fill="DBE5F1"/>
                  <w:vAlign w:val="center"/>
                </w:tcPr>
                <w:p w:rsidR="000C120A" w:rsidRPr="000E1988" w:rsidRDefault="000C120A" w:rsidP="000C120A">
                  <w:pPr>
                    <w:keepNext/>
                    <w:keepLines/>
                    <w:autoSpaceDE w:val="0"/>
                    <w:autoSpaceDN w:val="0"/>
                    <w:adjustRightInd w:val="0"/>
                    <w:spacing w:before="60"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en-GB"/>
                    </w:rPr>
                  </w:pPr>
                  <w:r w:rsidRPr="000E1988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en-GB"/>
                    </w:rPr>
                    <w:t>Kohézny fond</w:t>
                  </w:r>
                </w:p>
              </w:tc>
            </w:tr>
            <w:tr w:rsidR="000C120A" w:rsidRPr="000E1988" w:rsidTr="008C1A82">
              <w:trPr>
                <w:trHeight w:val="20"/>
              </w:trPr>
              <w:tc>
                <w:tcPr>
                  <w:tcW w:w="2655" w:type="pct"/>
                  <w:shd w:val="clear" w:color="auto" w:fill="DBE5F1"/>
                  <w:vAlign w:val="center"/>
                </w:tcPr>
                <w:p w:rsidR="000C120A" w:rsidRPr="000E1988" w:rsidRDefault="000C120A" w:rsidP="000C120A">
                  <w:pPr>
                    <w:keepNext/>
                    <w:keepLines/>
                    <w:autoSpaceDE w:val="0"/>
                    <w:autoSpaceDN w:val="0"/>
                    <w:adjustRightInd w:val="0"/>
                    <w:spacing w:before="60"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</w:pPr>
                  <w:r w:rsidRPr="000E198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>Kategória regiónu</w:t>
                  </w:r>
                </w:p>
              </w:tc>
              <w:tc>
                <w:tcPr>
                  <w:tcW w:w="2345" w:type="pct"/>
                  <w:gridSpan w:val="2"/>
                  <w:shd w:val="clear" w:color="auto" w:fill="DBE5F1"/>
                  <w:vAlign w:val="center"/>
                </w:tcPr>
                <w:p w:rsidR="000C120A" w:rsidRPr="000E1988" w:rsidRDefault="000C120A" w:rsidP="000C120A">
                  <w:pPr>
                    <w:keepNext/>
                    <w:keepLines/>
                    <w:autoSpaceDE w:val="0"/>
                    <w:autoSpaceDN w:val="0"/>
                    <w:adjustRightInd w:val="0"/>
                    <w:spacing w:before="60"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en-GB"/>
                    </w:rPr>
                  </w:pPr>
                  <w:r w:rsidRPr="000E1988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en-GB"/>
                    </w:rPr>
                    <w:t>N/A</w:t>
                  </w:r>
                </w:p>
              </w:tc>
            </w:tr>
            <w:tr w:rsidR="000C120A" w:rsidRPr="000E1988" w:rsidTr="008C1A82">
              <w:trPr>
                <w:trHeight w:val="20"/>
              </w:trPr>
              <w:tc>
                <w:tcPr>
                  <w:tcW w:w="265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0C120A" w:rsidRPr="000E1988" w:rsidRDefault="000C120A" w:rsidP="000C120A">
                  <w:pPr>
                    <w:spacing w:before="60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0E1988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en-GB"/>
                    </w:rPr>
                    <w:t>Prioritná os</w:t>
                  </w:r>
                </w:p>
              </w:tc>
              <w:tc>
                <w:tcPr>
                  <w:tcW w:w="922" w:type="pct"/>
                  <w:shd w:val="clear" w:color="auto" w:fill="FFFFFF"/>
                </w:tcPr>
                <w:p w:rsidR="000C120A" w:rsidRPr="000E1988" w:rsidRDefault="000C120A" w:rsidP="000C120A">
                  <w:pPr>
                    <w:spacing w:before="60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0E1988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en-GB"/>
                    </w:rPr>
                    <w:t xml:space="preserve">Kód </w:t>
                  </w:r>
                </w:p>
              </w:tc>
              <w:tc>
                <w:tcPr>
                  <w:tcW w:w="1423" w:type="pct"/>
                  <w:shd w:val="clear" w:color="auto" w:fill="FFFFFF"/>
                </w:tcPr>
                <w:p w:rsidR="000C120A" w:rsidRPr="000E1988" w:rsidRDefault="000C120A" w:rsidP="000C120A">
                  <w:pPr>
                    <w:spacing w:before="60"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0E1988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en-GB"/>
                    </w:rPr>
                    <w:t>Suma (v EUR)</w:t>
                  </w:r>
                </w:p>
              </w:tc>
            </w:tr>
            <w:tr w:rsidR="000C120A" w:rsidRPr="000E1988" w:rsidTr="008C1A82">
              <w:trPr>
                <w:trHeight w:val="20"/>
              </w:trPr>
              <w:tc>
                <w:tcPr>
                  <w:tcW w:w="265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C120A" w:rsidRPr="000E1988" w:rsidRDefault="000C120A" w:rsidP="000C120A">
                  <w:pPr>
                    <w:autoSpaceDE w:val="0"/>
                    <w:autoSpaceDN w:val="0"/>
                    <w:adjustRightInd w:val="0"/>
                    <w:spacing w:before="60"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0E198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sk-SK"/>
                    </w:rPr>
                    <w:t>1. Udržateľné využívanie prírodných zdrojov prostredníctvom rozvoja environmentálnej infraštruktúry</w:t>
                  </w:r>
                  <w:r w:rsidRPr="000E1988" w:rsidDel="00C46AE4">
                    <w:rPr>
                      <w:rFonts w:ascii="Times New Roman" w:hAnsi="Times New Roman" w:cs="Times New Roman"/>
                      <w:sz w:val="24"/>
                      <w:szCs w:val="24"/>
                      <w:lang w:eastAsia="en-GB"/>
                    </w:rPr>
                    <w:t xml:space="preserve"> </w:t>
                  </w:r>
                </w:p>
              </w:tc>
              <w:tc>
                <w:tcPr>
                  <w:tcW w:w="922" w:type="pct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0C120A" w:rsidRPr="00037034" w:rsidRDefault="000C120A" w:rsidP="000C120A">
                  <w:pPr>
                    <w:autoSpaceDE w:val="0"/>
                    <w:autoSpaceDN w:val="0"/>
                    <w:adjustRightInd w:val="0"/>
                    <w:spacing w:before="60"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</w:pPr>
                  <w:r w:rsidRPr="000370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>017</w:t>
                  </w:r>
                </w:p>
              </w:tc>
              <w:tc>
                <w:tcPr>
                  <w:tcW w:w="1423" w:type="pct"/>
                  <w:shd w:val="clear" w:color="auto" w:fill="FFFFFF"/>
                </w:tcPr>
                <w:p w:rsidR="000C120A" w:rsidRPr="00037034" w:rsidRDefault="000C120A" w:rsidP="000C120A">
                  <w:pPr>
                    <w:autoSpaceDE w:val="0"/>
                    <w:autoSpaceDN w:val="0"/>
                    <w:adjustRightInd w:val="0"/>
                    <w:spacing w:before="60"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en-GB"/>
                    </w:rPr>
                  </w:pPr>
                  <w:r w:rsidRPr="0003703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en-GB"/>
                    </w:rPr>
                    <w:t>145 810 087</w:t>
                  </w:r>
                </w:p>
              </w:tc>
            </w:tr>
            <w:tr w:rsidR="000C120A" w:rsidRPr="000E1988" w:rsidTr="008C1A82">
              <w:trPr>
                <w:trHeight w:val="20"/>
              </w:trPr>
              <w:tc>
                <w:tcPr>
                  <w:tcW w:w="2655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C120A" w:rsidRPr="000E1988" w:rsidRDefault="000C120A" w:rsidP="000C120A">
                  <w:pPr>
                    <w:autoSpaceDE w:val="0"/>
                    <w:autoSpaceDN w:val="0"/>
                    <w:adjustRightInd w:val="0"/>
                    <w:spacing w:before="60"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GB"/>
                    </w:rPr>
                  </w:pPr>
                </w:p>
              </w:tc>
              <w:tc>
                <w:tcPr>
                  <w:tcW w:w="922" w:type="pct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0C120A" w:rsidRPr="00037034" w:rsidRDefault="000C120A" w:rsidP="000C120A">
                  <w:pPr>
                    <w:autoSpaceDE w:val="0"/>
                    <w:autoSpaceDN w:val="0"/>
                    <w:adjustRightInd w:val="0"/>
                    <w:spacing w:before="60"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</w:pPr>
                  <w:r w:rsidRPr="000370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>018</w:t>
                  </w:r>
                </w:p>
              </w:tc>
              <w:tc>
                <w:tcPr>
                  <w:tcW w:w="1423" w:type="pct"/>
                  <w:shd w:val="clear" w:color="auto" w:fill="FFFFFF"/>
                </w:tcPr>
                <w:p w:rsidR="000C120A" w:rsidRPr="00037034" w:rsidRDefault="000C120A" w:rsidP="000C120A">
                  <w:pPr>
                    <w:autoSpaceDE w:val="0"/>
                    <w:autoSpaceDN w:val="0"/>
                    <w:adjustRightInd w:val="0"/>
                    <w:spacing w:before="60"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en-GB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en-GB"/>
                    </w:rPr>
                    <w:t xml:space="preserve">    </w:t>
                  </w:r>
                  <w:r w:rsidRPr="0003703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en-GB"/>
                    </w:rPr>
                    <w:t>5 357 517</w:t>
                  </w:r>
                </w:p>
              </w:tc>
            </w:tr>
            <w:tr w:rsidR="000C120A" w:rsidRPr="000E1988" w:rsidTr="008C1A82">
              <w:trPr>
                <w:trHeight w:val="20"/>
              </w:trPr>
              <w:tc>
                <w:tcPr>
                  <w:tcW w:w="2655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C120A" w:rsidRPr="000E1988" w:rsidRDefault="000C120A" w:rsidP="000C120A">
                  <w:pPr>
                    <w:autoSpaceDE w:val="0"/>
                    <w:autoSpaceDN w:val="0"/>
                    <w:adjustRightInd w:val="0"/>
                    <w:spacing w:before="60"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GB"/>
                    </w:rPr>
                  </w:pPr>
                </w:p>
              </w:tc>
              <w:tc>
                <w:tcPr>
                  <w:tcW w:w="922" w:type="pct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0C120A" w:rsidRPr="00037034" w:rsidRDefault="000C120A" w:rsidP="000C120A">
                  <w:pPr>
                    <w:autoSpaceDE w:val="0"/>
                    <w:autoSpaceDN w:val="0"/>
                    <w:adjustRightInd w:val="0"/>
                    <w:spacing w:before="60"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</w:pPr>
                  <w:r w:rsidRPr="000370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>019</w:t>
                  </w:r>
                </w:p>
              </w:tc>
              <w:tc>
                <w:tcPr>
                  <w:tcW w:w="1423" w:type="pct"/>
                  <w:shd w:val="clear" w:color="auto" w:fill="FFFFFF"/>
                </w:tcPr>
                <w:p w:rsidR="000C120A" w:rsidRPr="00037034" w:rsidRDefault="000C120A" w:rsidP="000C120A">
                  <w:pPr>
                    <w:autoSpaceDE w:val="0"/>
                    <w:autoSpaceDN w:val="0"/>
                    <w:adjustRightInd w:val="0"/>
                    <w:spacing w:before="60"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en-GB"/>
                    </w:rPr>
                  </w:pPr>
                  <w:r w:rsidRPr="0003703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en-GB"/>
                    </w:rPr>
                    <w:t>251 715 162</w:t>
                  </w:r>
                </w:p>
              </w:tc>
            </w:tr>
          </w:tbl>
          <w:p w:rsidR="000C120A" w:rsidRDefault="000C120A" w:rsidP="000C120A">
            <w:pPr>
              <w:pStyle w:val="Popis"/>
              <w:keepNext/>
              <w:rPr>
                <w:sz w:val="24"/>
                <w:szCs w:val="24"/>
              </w:rPr>
            </w:pPr>
            <w:r w:rsidRPr="008C1A82">
              <w:rPr>
                <w:rFonts w:eastAsiaTheme="minorHAnsi"/>
                <w:b w:val="0"/>
                <w:bCs w:val="0"/>
                <w:color w:val="auto"/>
                <w:sz w:val="24"/>
                <w:szCs w:val="24"/>
              </w:rPr>
              <w:t>Návrh zmeny:</w:t>
            </w:r>
            <w:r w:rsidRPr="00037034">
              <w:rPr>
                <w:sz w:val="24"/>
                <w:szCs w:val="24"/>
              </w:rPr>
              <w:t xml:space="preserve"> </w:t>
            </w:r>
          </w:p>
          <w:p w:rsidR="000C120A" w:rsidRPr="00037034" w:rsidRDefault="000C120A" w:rsidP="000C120A">
            <w:pPr>
              <w:pStyle w:val="Popis"/>
              <w:keepNext/>
              <w:rPr>
                <w:sz w:val="24"/>
                <w:szCs w:val="24"/>
              </w:rPr>
            </w:pPr>
            <w:r w:rsidRPr="00037034">
              <w:rPr>
                <w:sz w:val="24"/>
                <w:szCs w:val="24"/>
              </w:rPr>
              <w:t xml:space="preserve">Tabuľka </w:t>
            </w:r>
            <w:r>
              <w:rPr>
                <w:sz w:val="24"/>
                <w:szCs w:val="24"/>
              </w:rPr>
              <w:t>18</w:t>
            </w:r>
            <w:r w:rsidRPr="00037034">
              <w:rPr>
                <w:sz w:val="24"/>
                <w:szCs w:val="24"/>
              </w:rPr>
              <w:t xml:space="preserve"> Oblasť intervencie</w:t>
            </w:r>
          </w:p>
          <w:tbl>
            <w:tblPr>
              <w:tblW w:w="456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ook w:val="01E0" w:firstRow="1" w:lastRow="1" w:firstColumn="1" w:lastColumn="1" w:noHBand="0" w:noVBand="0"/>
            </w:tblPr>
            <w:tblGrid>
              <w:gridCol w:w="5111"/>
              <w:gridCol w:w="1775"/>
              <w:gridCol w:w="2739"/>
            </w:tblGrid>
            <w:tr w:rsidR="000C120A" w:rsidRPr="00B42C52" w:rsidTr="008C1A82">
              <w:trPr>
                <w:trHeight w:val="20"/>
              </w:trPr>
              <w:tc>
                <w:tcPr>
                  <w:tcW w:w="5000" w:type="pct"/>
                  <w:gridSpan w:val="3"/>
                  <w:shd w:val="clear" w:color="auto" w:fill="DBE5F1"/>
                  <w:vAlign w:val="center"/>
                </w:tcPr>
                <w:p w:rsidR="000C120A" w:rsidRPr="00037034" w:rsidRDefault="000C120A" w:rsidP="000C120A">
                  <w:pPr>
                    <w:keepNext/>
                    <w:keepLines/>
                    <w:autoSpaceDE w:val="0"/>
                    <w:autoSpaceDN w:val="0"/>
                    <w:adjustRightInd w:val="0"/>
                    <w:spacing w:before="60" w:after="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en-GB"/>
                    </w:rPr>
                  </w:pPr>
                  <w:r w:rsidRPr="0003703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Dimenzia 1 – Oblasť intervencie</w:t>
                  </w:r>
                </w:p>
              </w:tc>
            </w:tr>
            <w:tr w:rsidR="000C120A" w:rsidRPr="00B42C52" w:rsidTr="008C1A82">
              <w:trPr>
                <w:trHeight w:val="20"/>
              </w:trPr>
              <w:tc>
                <w:tcPr>
                  <w:tcW w:w="2655" w:type="pct"/>
                  <w:shd w:val="clear" w:color="auto" w:fill="DBE5F1"/>
                  <w:vAlign w:val="center"/>
                </w:tcPr>
                <w:p w:rsidR="000C120A" w:rsidRPr="00037034" w:rsidRDefault="000C120A" w:rsidP="000C120A">
                  <w:pPr>
                    <w:keepNext/>
                    <w:keepLines/>
                    <w:autoSpaceDE w:val="0"/>
                    <w:autoSpaceDN w:val="0"/>
                    <w:adjustRightInd w:val="0"/>
                    <w:spacing w:before="60" w:after="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</w:pPr>
                  <w:r w:rsidRPr="000370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>Fond</w:t>
                  </w:r>
                </w:p>
              </w:tc>
              <w:tc>
                <w:tcPr>
                  <w:tcW w:w="2345" w:type="pct"/>
                  <w:gridSpan w:val="2"/>
                  <w:shd w:val="clear" w:color="auto" w:fill="DBE5F1"/>
                  <w:vAlign w:val="center"/>
                </w:tcPr>
                <w:p w:rsidR="000C120A" w:rsidRPr="00037034" w:rsidRDefault="000C120A" w:rsidP="000C120A">
                  <w:pPr>
                    <w:keepNext/>
                    <w:keepLines/>
                    <w:autoSpaceDE w:val="0"/>
                    <w:autoSpaceDN w:val="0"/>
                    <w:adjustRightInd w:val="0"/>
                    <w:spacing w:before="60" w:after="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en-GB"/>
                    </w:rPr>
                  </w:pPr>
                  <w:r w:rsidRPr="00037034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en-GB"/>
                    </w:rPr>
                    <w:t>Kohézny fond</w:t>
                  </w:r>
                </w:p>
              </w:tc>
            </w:tr>
            <w:tr w:rsidR="000C120A" w:rsidRPr="00B42C52" w:rsidTr="008C1A82">
              <w:trPr>
                <w:trHeight w:val="20"/>
              </w:trPr>
              <w:tc>
                <w:tcPr>
                  <w:tcW w:w="2655" w:type="pct"/>
                  <w:shd w:val="clear" w:color="auto" w:fill="DBE5F1"/>
                  <w:vAlign w:val="center"/>
                </w:tcPr>
                <w:p w:rsidR="000C120A" w:rsidRPr="00037034" w:rsidRDefault="000C120A" w:rsidP="000C120A">
                  <w:pPr>
                    <w:keepNext/>
                    <w:keepLines/>
                    <w:autoSpaceDE w:val="0"/>
                    <w:autoSpaceDN w:val="0"/>
                    <w:adjustRightInd w:val="0"/>
                    <w:spacing w:before="60" w:after="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</w:pPr>
                  <w:r w:rsidRPr="000370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>Kategória regiónu</w:t>
                  </w:r>
                </w:p>
              </w:tc>
              <w:tc>
                <w:tcPr>
                  <w:tcW w:w="2345" w:type="pct"/>
                  <w:gridSpan w:val="2"/>
                  <w:shd w:val="clear" w:color="auto" w:fill="DBE5F1"/>
                  <w:vAlign w:val="center"/>
                </w:tcPr>
                <w:p w:rsidR="000C120A" w:rsidRPr="00037034" w:rsidRDefault="000C120A" w:rsidP="000C120A">
                  <w:pPr>
                    <w:keepNext/>
                    <w:keepLines/>
                    <w:autoSpaceDE w:val="0"/>
                    <w:autoSpaceDN w:val="0"/>
                    <w:adjustRightInd w:val="0"/>
                    <w:spacing w:before="60" w:after="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en-GB"/>
                    </w:rPr>
                  </w:pPr>
                  <w:r w:rsidRPr="00037034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en-GB"/>
                    </w:rPr>
                    <w:t>N/A</w:t>
                  </w:r>
                </w:p>
              </w:tc>
            </w:tr>
            <w:tr w:rsidR="000C120A" w:rsidRPr="00B42C52" w:rsidTr="008C1A82">
              <w:trPr>
                <w:trHeight w:val="20"/>
              </w:trPr>
              <w:tc>
                <w:tcPr>
                  <w:tcW w:w="2655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0C120A" w:rsidRPr="00037034" w:rsidRDefault="0088351A" w:rsidP="0088351A">
                  <w:pPr>
                    <w:spacing w:before="60"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en-GB"/>
                    </w:rPr>
                    <w:t>Pri</w:t>
                  </w:r>
                  <w:r w:rsidR="000C120A" w:rsidRPr="0003703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en-GB"/>
                    </w:rPr>
                    <w:t>oritná os</w:t>
                  </w:r>
                </w:p>
              </w:tc>
              <w:tc>
                <w:tcPr>
                  <w:tcW w:w="922" w:type="pct"/>
                  <w:shd w:val="clear" w:color="auto" w:fill="FFFFFF"/>
                </w:tcPr>
                <w:p w:rsidR="000C120A" w:rsidRPr="00037034" w:rsidRDefault="000C120A" w:rsidP="000C120A">
                  <w:pPr>
                    <w:spacing w:before="60"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03703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en-GB"/>
                    </w:rPr>
                    <w:t xml:space="preserve">Kód </w:t>
                  </w:r>
                </w:p>
              </w:tc>
              <w:tc>
                <w:tcPr>
                  <w:tcW w:w="1423" w:type="pct"/>
                  <w:shd w:val="clear" w:color="auto" w:fill="FFFFFF"/>
                </w:tcPr>
                <w:p w:rsidR="000C120A" w:rsidRPr="00037034" w:rsidRDefault="000C120A" w:rsidP="000C120A">
                  <w:pPr>
                    <w:spacing w:before="60"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03703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en-GB"/>
                    </w:rPr>
                    <w:t>Suma (v EUR)</w:t>
                  </w:r>
                </w:p>
              </w:tc>
            </w:tr>
            <w:tr w:rsidR="000C120A" w:rsidRPr="00B42C52" w:rsidTr="008C1A82">
              <w:trPr>
                <w:trHeight w:val="20"/>
              </w:trPr>
              <w:tc>
                <w:tcPr>
                  <w:tcW w:w="265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C120A" w:rsidRPr="00037034" w:rsidRDefault="0088351A" w:rsidP="000C120A">
                  <w:pPr>
                    <w:autoSpaceDE w:val="0"/>
                    <w:autoSpaceDN w:val="0"/>
                    <w:adjustRightInd w:val="0"/>
                    <w:spacing w:before="60" w:after="0"/>
                    <w:rPr>
                      <w:rFonts w:ascii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sk-SK"/>
                    </w:rPr>
                    <w:t>1</w:t>
                  </w:r>
                  <w:r w:rsidR="000C120A" w:rsidRPr="0003703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sk-SK"/>
                    </w:rPr>
                    <w:t>. Udržateľné využívanie prírodných zdrojov prostredníctvom rozvoja environmentálnej infraštruktúry</w:t>
                  </w:r>
                  <w:r w:rsidR="000C120A" w:rsidRPr="00037034" w:rsidDel="00C46AE4">
                    <w:rPr>
                      <w:rFonts w:ascii="Times New Roman" w:hAnsi="Times New Roman" w:cs="Times New Roman"/>
                      <w:sz w:val="24"/>
                      <w:szCs w:val="24"/>
                      <w:lang w:eastAsia="en-GB"/>
                    </w:rPr>
                    <w:t xml:space="preserve"> </w:t>
                  </w:r>
                </w:p>
              </w:tc>
              <w:tc>
                <w:tcPr>
                  <w:tcW w:w="922" w:type="pct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0C120A" w:rsidRPr="00037034" w:rsidRDefault="000C120A" w:rsidP="000C120A">
                  <w:pPr>
                    <w:autoSpaceDE w:val="0"/>
                    <w:autoSpaceDN w:val="0"/>
                    <w:adjustRightInd w:val="0"/>
                    <w:spacing w:before="60" w:after="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en-GB"/>
                    </w:rPr>
                  </w:pPr>
                  <w:r w:rsidRPr="00037034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en-GB"/>
                    </w:rPr>
                    <w:t>017</w:t>
                  </w:r>
                </w:p>
              </w:tc>
              <w:tc>
                <w:tcPr>
                  <w:tcW w:w="1423" w:type="pct"/>
                  <w:shd w:val="clear" w:color="auto" w:fill="FFFFFF"/>
                </w:tcPr>
                <w:p w:rsidR="000C120A" w:rsidRPr="00E1273C" w:rsidRDefault="000C120A" w:rsidP="000C120A">
                  <w:pPr>
                    <w:autoSpaceDE w:val="0"/>
                    <w:autoSpaceDN w:val="0"/>
                    <w:adjustRightInd w:val="0"/>
                    <w:spacing w:before="60"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en-GB"/>
                    </w:rPr>
                  </w:pPr>
                  <w:r w:rsidRPr="00E1273C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lang w:eastAsia="en-GB"/>
                    </w:rPr>
                    <w:t xml:space="preserve">234 041 300   </w:t>
                  </w:r>
                </w:p>
              </w:tc>
            </w:tr>
            <w:tr w:rsidR="000C120A" w:rsidRPr="00B42C52" w:rsidTr="008C1A82">
              <w:trPr>
                <w:trHeight w:val="20"/>
              </w:trPr>
              <w:tc>
                <w:tcPr>
                  <w:tcW w:w="2655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C120A" w:rsidRPr="00037034" w:rsidRDefault="000C120A" w:rsidP="000C120A">
                  <w:pPr>
                    <w:autoSpaceDE w:val="0"/>
                    <w:autoSpaceDN w:val="0"/>
                    <w:adjustRightInd w:val="0"/>
                    <w:spacing w:before="60" w:after="0"/>
                    <w:rPr>
                      <w:rFonts w:ascii="Times New Roman" w:hAnsi="Times New Roman" w:cs="Times New Roman"/>
                      <w:sz w:val="24"/>
                      <w:szCs w:val="24"/>
                      <w:lang w:eastAsia="en-GB"/>
                    </w:rPr>
                  </w:pPr>
                </w:p>
              </w:tc>
              <w:tc>
                <w:tcPr>
                  <w:tcW w:w="922" w:type="pct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0C120A" w:rsidRPr="00037034" w:rsidRDefault="000C120A" w:rsidP="000C120A">
                  <w:pPr>
                    <w:autoSpaceDE w:val="0"/>
                    <w:autoSpaceDN w:val="0"/>
                    <w:adjustRightInd w:val="0"/>
                    <w:spacing w:before="60" w:after="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en-GB"/>
                    </w:rPr>
                  </w:pPr>
                  <w:r w:rsidRPr="00037034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en-GB"/>
                    </w:rPr>
                    <w:t>018</w:t>
                  </w:r>
                </w:p>
              </w:tc>
              <w:tc>
                <w:tcPr>
                  <w:tcW w:w="1423" w:type="pct"/>
                  <w:shd w:val="clear" w:color="auto" w:fill="FFFFFF"/>
                </w:tcPr>
                <w:p w:rsidR="000C120A" w:rsidRPr="00E1273C" w:rsidRDefault="000C120A" w:rsidP="000C120A">
                  <w:pPr>
                    <w:autoSpaceDE w:val="0"/>
                    <w:autoSpaceDN w:val="0"/>
                    <w:adjustRightInd w:val="0"/>
                    <w:spacing w:before="60"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en-GB"/>
                    </w:rPr>
                  </w:pPr>
                  <w:r w:rsidRPr="00E1273C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lang w:eastAsia="en-GB"/>
                    </w:rPr>
                    <w:t xml:space="preserve">  16 283 900   </w:t>
                  </w:r>
                </w:p>
              </w:tc>
            </w:tr>
            <w:tr w:rsidR="000C120A" w:rsidRPr="00B42C52" w:rsidTr="008C1A82">
              <w:trPr>
                <w:trHeight w:val="20"/>
              </w:trPr>
              <w:tc>
                <w:tcPr>
                  <w:tcW w:w="2655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C120A" w:rsidRPr="00037034" w:rsidRDefault="000C120A" w:rsidP="000C120A">
                  <w:pPr>
                    <w:autoSpaceDE w:val="0"/>
                    <w:autoSpaceDN w:val="0"/>
                    <w:adjustRightInd w:val="0"/>
                    <w:spacing w:before="60" w:after="0"/>
                    <w:rPr>
                      <w:rFonts w:ascii="Times New Roman" w:hAnsi="Times New Roman" w:cs="Times New Roman"/>
                      <w:sz w:val="24"/>
                      <w:szCs w:val="24"/>
                      <w:lang w:eastAsia="en-GB"/>
                    </w:rPr>
                  </w:pPr>
                </w:p>
              </w:tc>
              <w:tc>
                <w:tcPr>
                  <w:tcW w:w="922" w:type="pct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0C120A" w:rsidRPr="00037034" w:rsidRDefault="000C120A" w:rsidP="000C120A">
                  <w:pPr>
                    <w:autoSpaceDE w:val="0"/>
                    <w:autoSpaceDN w:val="0"/>
                    <w:adjustRightInd w:val="0"/>
                    <w:spacing w:before="60" w:after="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en-GB"/>
                    </w:rPr>
                  </w:pPr>
                  <w:r w:rsidRPr="00037034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en-GB"/>
                    </w:rPr>
                    <w:t>019</w:t>
                  </w:r>
                </w:p>
              </w:tc>
              <w:tc>
                <w:tcPr>
                  <w:tcW w:w="1423" w:type="pct"/>
                  <w:shd w:val="clear" w:color="auto" w:fill="FFFFFF"/>
                </w:tcPr>
                <w:p w:rsidR="000C120A" w:rsidRPr="00E1273C" w:rsidRDefault="000C120A">
                  <w:pPr>
                    <w:autoSpaceDE w:val="0"/>
                    <w:autoSpaceDN w:val="0"/>
                    <w:adjustRightInd w:val="0"/>
                    <w:spacing w:before="60" w:after="0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lang w:eastAsia="en-GB"/>
                    </w:rPr>
                  </w:pPr>
                  <w:r w:rsidRPr="00E1273C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lang w:eastAsia="en-GB"/>
                    </w:rPr>
                    <w:t xml:space="preserve">152 557 566  </w:t>
                  </w:r>
                </w:p>
              </w:tc>
            </w:tr>
          </w:tbl>
          <w:p w:rsidR="00977F0E" w:rsidRDefault="00977F0E" w:rsidP="00977F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0B45" w:rsidRPr="000E1988" w:rsidRDefault="00530B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30B45" w:rsidRPr="000E1988" w:rsidSect="0088351A">
      <w:footerReference w:type="default" r:id="rId10"/>
      <w:headerReference w:type="first" r:id="rId11"/>
      <w:pgSz w:w="16838" w:h="11906" w:orient="landscape"/>
      <w:pgMar w:top="1417" w:right="1417" w:bottom="567" w:left="1417" w:header="708" w:footer="7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FC2" w:rsidRDefault="000C0FC2" w:rsidP="006731F4">
      <w:pPr>
        <w:spacing w:after="0" w:line="240" w:lineRule="auto"/>
      </w:pPr>
      <w:r>
        <w:separator/>
      </w:r>
    </w:p>
  </w:endnote>
  <w:endnote w:type="continuationSeparator" w:id="0">
    <w:p w:rsidR="000C0FC2" w:rsidRDefault="000C0FC2" w:rsidP="00673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8477687"/>
      <w:docPartObj>
        <w:docPartGallery w:val="Page Numbers (Bottom of Page)"/>
        <w:docPartUnique/>
      </w:docPartObj>
    </w:sdtPr>
    <w:sdtEndPr/>
    <w:sdtContent>
      <w:p w:rsidR="00556CFA" w:rsidRDefault="00556CFA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7C04">
          <w:rPr>
            <w:noProof/>
          </w:rPr>
          <w:t>2</w:t>
        </w:r>
        <w:r>
          <w:fldChar w:fldCharType="end"/>
        </w:r>
      </w:p>
    </w:sdtContent>
  </w:sdt>
  <w:p w:rsidR="00556CFA" w:rsidRDefault="00556CF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FC2" w:rsidRDefault="000C0FC2" w:rsidP="006731F4">
      <w:pPr>
        <w:spacing w:after="0" w:line="240" w:lineRule="auto"/>
      </w:pPr>
      <w:r>
        <w:separator/>
      </w:r>
    </w:p>
  </w:footnote>
  <w:footnote w:type="continuationSeparator" w:id="0">
    <w:p w:rsidR="000C0FC2" w:rsidRDefault="000C0FC2" w:rsidP="00673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CFA" w:rsidRDefault="00556CFA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751D77D4" wp14:editId="068AE553">
          <wp:simplePos x="0" y="0"/>
          <wp:positionH relativeFrom="margin">
            <wp:posOffset>0</wp:posOffset>
          </wp:positionH>
          <wp:positionV relativeFrom="page">
            <wp:posOffset>728725</wp:posOffset>
          </wp:positionV>
          <wp:extent cx="2430145" cy="558165"/>
          <wp:effectExtent l="0" t="0" r="8255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9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0145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A54E2"/>
    <w:multiLevelType w:val="hybridMultilevel"/>
    <w:tmpl w:val="3522A6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55781D"/>
    <w:multiLevelType w:val="hybridMultilevel"/>
    <w:tmpl w:val="52480EB4"/>
    <w:lvl w:ilvl="0" w:tplc="0074DC3A">
      <w:start w:val="15"/>
      <w:numFmt w:val="bullet"/>
      <w:lvlText w:val="-"/>
      <w:lvlJc w:val="left"/>
      <w:pPr>
        <w:ind w:left="4755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2" w15:restartNumberingAfterBreak="0">
    <w:nsid w:val="30822232"/>
    <w:multiLevelType w:val="hybridMultilevel"/>
    <w:tmpl w:val="C64A819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1CF5"/>
    <w:multiLevelType w:val="hybridMultilevel"/>
    <w:tmpl w:val="2C9EFDA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40653D"/>
    <w:multiLevelType w:val="hybridMultilevel"/>
    <w:tmpl w:val="37F887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30F02"/>
    <w:multiLevelType w:val="hybridMultilevel"/>
    <w:tmpl w:val="DAA23734"/>
    <w:lvl w:ilvl="0" w:tplc="338A88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10ABA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08D5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E488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F269A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A619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A445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3A08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6C2B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866C8B"/>
    <w:multiLevelType w:val="hybridMultilevel"/>
    <w:tmpl w:val="B366FF0C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76BC5361"/>
    <w:multiLevelType w:val="hybridMultilevel"/>
    <w:tmpl w:val="0CCA16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CB3"/>
    <w:rsid w:val="00037034"/>
    <w:rsid w:val="0005467F"/>
    <w:rsid w:val="000650A6"/>
    <w:rsid w:val="00086A83"/>
    <w:rsid w:val="000A4B15"/>
    <w:rsid w:val="000C0FC2"/>
    <w:rsid w:val="000C120A"/>
    <w:rsid w:val="000D5D21"/>
    <w:rsid w:val="000E1988"/>
    <w:rsid w:val="00132B4A"/>
    <w:rsid w:val="00174097"/>
    <w:rsid w:val="00176E33"/>
    <w:rsid w:val="00182371"/>
    <w:rsid w:val="001E4A46"/>
    <w:rsid w:val="0021463B"/>
    <w:rsid w:val="002149EB"/>
    <w:rsid w:val="00216558"/>
    <w:rsid w:val="002177EA"/>
    <w:rsid w:val="00226C54"/>
    <w:rsid w:val="00256F76"/>
    <w:rsid w:val="0026126C"/>
    <w:rsid w:val="002858DA"/>
    <w:rsid w:val="00295869"/>
    <w:rsid w:val="00297933"/>
    <w:rsid w:val="002A3E67"/>
    <w:rsid w:val="002B3F80"/>
    <w:rsid w:val="002C5D74"/>
    <w:rsid w:val="002D0834"/>
    <w:rsid w:val="002E2F69"/>
    <w:rsid w:val="003006CD"/>
    <w:rsid w:val="00306171"/>
    <w:rsid w:val="003206D9"/>
    <w:rsid w:val="003411F8"/>
    <w:rsid w:val="00372A40"/>
    <w:rsid w:val="003C6D19"/>
    <w:rsid w:val="003F69B9"/>
    <w:rsid w:val="00417984"/>
    <w:rsid w:val="00427DA5"/>
    <w:rsid w:val="0043750B"/>
    <w:rsid w:val="00442A18"/>
    <w:rsid w:val="0047392A"/>
    <w:rsid w:val="004A1D84"/>
    <w:rsid w:val="004A2FB3"/>
    <w:rsid w:val="004A7637"/>
    <w:rsid w:val="004B71E2"/>
    <w:rsid w:val="004C1127"/>
    <w:rsid w:val="004C5F2C"/>
    <w:rsid w:val="004C7FF7"/>
    <w:rsid w:val="004D1603"/>
    <w:rsid w:val="004E02BF"/>
    <w:rsid w:val="004E7908"/>
    <w:rsid w:val="004F51DD"/>
    <w:rsid w:val="004F537E"/>
    <w:rsid w:val="00530B45"/>
    <w:rsid w:val="00533BD4"/>
    <w:rsid w:val="00546405"/>
    <w:rsid w:val="00556CFA"/>
    <w:rsid w:val="00560581"/>
    <w:rsid w:val="00566728"/>
    <w:rsid w:val="00574D5B"/>
    <w:rsid w:val="00574E75"/>
    <w:rsid w:val="00580CC0"/>
    <w:rsid w:val="005A7354"/>
    <w:rsid w:val="005B03D4"/>
    <w:rsid w:val="005E5FAF"/>
    <w:rsid w:val="006009B6"/>
    <w:rsid w:val="00631034"/>
    <w:rsid w:val="00640F8A"/>
    <w:rsid w:val="00662A1C"/>
    <w:rsid w:val="006731F4"/>
    <w:rsid w:val="006A0C65"/>
    <w:rsid w:val="006A16B1"/>
    <w:rsid w:val="006B10A5"/>
    <w:rsid w:val="006C3128"/>
    <w:rsid w:val="006D747C"/>
    <w:rsid w:val="006F59C2"/>
    <w:rsid w:val="0070418C"/>
    <w:rsid w:val="00714D4A"/>
    <w:rsid w:val="00722FC4"/>
    <w:rsid w:val="00723F33"/>
    <w:rsid w:val="0075480E"/>
    <w:rsid w:val="00760D9E"/>
    <w:rsid w:val="00762944"/>
    <w:rsid w:val="007B7D36"/>
    <w:rsid w:val="007C2775"/>
    <w:rsid w:val="007E0A03"/>
    <w:rsid w:val="00805104"/>
    <w:rsid w:val="008266CB"/>
    <w:rsid w:val="00827BC8"/>
    <w:rsid w:val="00830212"/>
    <w:rsid w:val="0086103B"/>
    <w:rsid w:val="008615C5"/>
    <w:rsid w:val="00862B4E"/>
    <w:rsid w:val="00873F4D"/>
    <w:rsid w:val="0088351A"/>
    <w:rsid w:val="0088586E"/>
    <w:rsid w:val="00891865"/>
    <w:rsid w:val="008943FF"/>
    <w:rsid w:val="008B2AEF"/>
    <w:rsid w:val="008B509F"/>
    <w:rsid w:val="008D224B"/>
    <w:rsid w:val="008D3AC9"/>
    <w:rsid w:val="008E1790"/>
    <w:rsid w:val="008E5DF1"/>
    <w:rsid w:val="008F37DF"/>
    <w:rsid w:val="008F75D1"/>
    <w:rsid w:val="009045C4"/>
    <w:rsid w:val="0091082E"/>
    <w:rsid w:val="00911172"/>
    <w:rsid w:val="00912973"/>
    <w:rsid w:val="00923D37"/>
    <w:rsid w:val="00924AAB"/>
    <w:rsid w:val="00945893"/>
    <w:rsid w:val="009520B1"/>
    <w:rsid w:val="00977F0E"/>
    <w:rsid w:val="00983CAC"/>
    <w:rsid w:val="009B3AA1"/>
    <w:rsid w:val="009C25A8"/>
    <w:rsid w:val="009D51D1"/>
    <w:rsid w:val="00A36D46"/>
    <w:rsid w:val="00A44438"/>
    <w:rsid w:val="00A546FE"/>
    <w:rsid w:val="00A62B4E"/>
    <w:rsid w:val="00A746D7"/>
    <w:rsid w:val="00A772B4"/>
    <w:rsid w:val="00A82892"/>
    <w:rsid w:val="00AA6D6E"/>
    <w:rsid w:val="00AB59CD"/>
    <w:rsid w:val="00AD4501"/>
    <w:rsid w:val="00AE1BAC"/>
    <w:rsid w:val="00AF2AB6"/>
    <w:rsid w:val="00B01293"/>
    <w:rsid w:val="00B22A0E"/>
    <w:rsid w:val="00B2339D"/>
    <w:rsid w:val="00B336C3"/>
    <w:rsid w:val="00B42C52"/>
    <w:rsid w:val="00B834D7"/>
    <w:rsid w:val="00B8754B"/>
    <w:rsid w:val="00BA150D"/>
    <w:rsid w:val="00BA273D"/>
    <w:rsid w:val="00BB6D4C"/>
    <w:rsid w:val="00BC23AC"/>
    <w:rsid w:val="00BC2C88"/>
    <w:rsid w:val="00C11BA4"/>
    <w:rsid w:val="00C46A24"/>
    <w:rsid w:val="00C678D0"/>
    <w:rsid w:val="00C76DF8"/>
    <w:rsid w:val="00C90846"/>
    <w:rsid w:val="00CB031B"/>
    <w:rsid w:val="00CB43DC"/>
    <w:rsid w:val="00CC3DAF"/>
    <w:rsid w:val="00CC52C1"/>
    <w:rsid w:val="00CD0F56"/>
    <w:rsid w:val="00CD4ECF"/>
    <w:rsid w:val="00CD7753"/>
    <w:rsid w:val="00CE5377"/>
    <w:rsid w:val="00CF6D5A"/>
    <w:rsid w:val="00D33510"/>
    <w:rsid w:val="00D446B1"/>
    <w:rsid w:val="00D45952"/>
    <w:rsid w:val="00D4609F"/>
    <w:rsid w:val="00D60218"/>
    <w:rsid w:val="00D618E7"/>
    <w:rsid w:val="00D843F1"/>
    <w:rsid w:val="00D97CB3"/>
    <w:rsid w:val="00DA1E03"/>
    <w:rsid w:val="00DC3219"/>
    <w:rsid w:val="00DF4E61"/>
    <w:rsid w:val="00E10A9B"/>
    <w:rsid w:val="00E1273C"/>
    <w:rsid w:val="00E13C5B"/>
    <w:rsid w:val="00E20E2F"/>
    <w:rsid w:val="00E2456A"/>
    <w:rsid w:val="00E2545B"/>
    <w:rsid w:val="00E53396"/>
    <w:rsid w:val="00E559CC"/>
    <w:rsid w:val="00E766E6"/>
    <w:rsid w:val="00E903E2"/>
    <w:rsid w:val="00E94987"/>
    <w:rsid w:val="00E960B6"/>
    <w:rsid w:val="00EC7C04"/>
    <w:rsid w:val="00EF0770"/>
    <w:rsid w:val="00EF1178"/>
    <w:rsid w:val="00EF2D51"/>
    <w:rsid w:val="00EF4606"/>
    <w:rsid w:val="00F00416"/>
    <w:rsid w:val="00F01D10"/>
    <w:rsid w:val="00F04980"/>
    <w:rsid w:val="00F0533F"/>
    <w:rsid w:val="00F1670E"/>
    <w:rsid w:val="00F25D70"/>
    <w:rsid w:val="00F27146"/>
    <w:rsid w:val="00F525BC"/>
    <w:rsid w:val="00F52A3C"/>
    <w:rsid w:val="00F57AD8"/>
    <w:rsid w:val="00F7256C"/>
    <w:rsid w:val="00F84AD1"/>
    <w:rsid w:val="00FA67F7"/>
    <w:rsid w:val="00FB0595"/>
    <w:rsid w:val="00FD6C4C"/>
    <w:rsid w:val="00FE6A5F"/>
    <w:rsid w:val="00FF0176"/>
    <w:rsid w:val="00FF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70AEFD7C-87BF-469F-B5CC-41AED6823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945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is">
    <w:name w:val="caption"/>
    <w:basedOn w:val="Normlny"/>
    <w:next w:val="Normlny"/>
    <w:unhideWhenUsed/>
    <w:qFormat/>
    <w:rsid w:val="006009B6"/>
    <w:pPr>
      <w:spacing w:line="240" w:lineRule="auto"/>
      <w:jc w:val="both"/>
    </w:pPr>
    <w:rPr>
      <w:rFonts w:ascii="Times New Roman" w:eastAsia="Calibri" w:hAnsi="Times New Roman" w:cs="Times New Roman"/>
      <w:b/>
      <w:bCs/>
      <w:color w:val="4F81BD"/>
      <w:sz w:val="18"/>
      <w:szCs w:val="18"/>
    </w:rPr>
  </w:style>
  <w:style w:type="paragraph" w:styleId="Nzov">
    <w:name w:val="Title"/>
    <w:basedOn w:val="Normlny"/>
    <w:next w:val="Podtitul"/>
    <w:link w:val="NzovChar"/>
    <w:qFormat/>
    <w:rsid w:val="005E5FA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5E5FA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E5FA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5E5F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E5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E5FAF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4E79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D747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D747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D747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D74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D747C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673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731F4"/>
  </w:style>
  <w:style w:type="paragraph" w:styleId="Pta">
    <w:name w:val="footer"/>
    <w:basedOn w:val="Normlny"/>
    <w:link w:val="PtaChar"/>
    <w:uiPriority w:val="99"/>
    <w:unhideWhenUsed/>
    <w:rsid w:val="00673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731F4"/>
  </w:style>
  <w:style w:type="paragraph" w:customStyle="1" w:styleId="CM1">
    <w:name w:val="CM1"/>
    <w:basedOn w:val="Normlny"/>
    <w:next w:val="Normlny"/>
    <w:uiPriority w:val="99"/>
    <w:rsid w:val="00BA150D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lny"/>
    <w:next w:val="Normlny"/>
    <w:uiPriority w:val="99"/>
    <w:rsid w:val="00BA150D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lny"/>
    <w:next w:val="Normlny"/>
    <w:uiPriority w:val="99"/>
    <w:rsid w:val="00BA150D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0624">
          <w:marLeft w:val="274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E0D26-60AB-40F2-AD93-9F101B19C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10</Pages>
  <Words>3402</Words>
  <Characters>19392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Kuna Peter</dc:creator>
  <cp:lastModifiedBy>Rolínová Jana</cp:lastModifiedBy>
  <cp:revision>16</cp:revision>
  <cp:lastPrinted>2017-06-19T18:07:00Z</cp:lastPrinted>
  <dcterms:created xsi:type="dcterms:W3CDTF">2017-06-05T15:03:00Z</dcterms:created>
  <dcterms:modified xsi:type="dcterms:W3CDTF">2017-06-19T18:07:00Z</dcterms:modified>
</cp:coreProperties>
</file>