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BCE4A" w14:textId="24CA6167" w:rsidR="00AE7B33" w:rsidRDefault="00AE7B33" w:rsidP="00D0357F">
      <w:pPr>
        <w:widowControl w:val="0"/>
        <w:autoSpaceDE w:val="0"/>
        <w:autoSpaceDN w:val="0"/>
        <w:adjustRightInd w:val="0"/>
        <w:rPr>
          <w:rFonts w:ascii="Roboto" w:hAnsi="Roboto" w:cs="Roboto"/>
          <w:b/>
          <w:bCs/>
          <w:color w:val="0064A3"/>
          <w:sz w:val="60"/>
          <w:szCs w:val="60"/>
        </w:rPr>
      </w:pPr>
      <w:bookmarkStart w:id="0" w:name="_GoBack"/>
      <w:bookmarkEnd w:id="0"/>
      <w:r>
        <w:rPr>
          <w:rFonts w:ascii="Arial Narrow" w:hAnsi="Arial Narrow"/>
          <w:noProof/>
        </w:rPr>
        <w:drawing>
          <wp:inline distT="0" distB="0" distL="0" distR="0" wp14:anchorId="03076358" wp14:editId="4D7ADFEA">
            <wp:extent cx="5759450" cy="36987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69873"/>
                    </a:xfrm>
                    <a:prstGeom prst="rect">
                      <a:avLst/>
                    </a:prstGeom>
                    <a:noFill/>
                  </pic:spPr>
                </pic:pic>
              </a:graphicData>
            </a:graphic>
          </wp:inline>
        </w:drawing>
      </w:r>
    </w:p>
    <w:p w14:paraId="05B28368" w14:textId="77777777" w:rsidR="00AE7B33" w:rsidRDefault="00AE7B33" w:rsidP="00D0357F">
      <w:pPr>
        <w:widowControl w:val="0"/>
        <w:autoSpaceDE w:val="0"/>
        <w:autoSpaceDN w:val="0"/>
        <w:adjustRightInd w:val="0"/>
        <w:rPr>
          <w:rFonts w:ascii="Roboto" w:hAnsi="Roboto" w:cs="Roboto"/>
          <w:b/>
          <w:bCs/>
          <w:color w:val="0064A3"/>
          <w:sz w:val="60"/>
          <w:szCs w:val="60"/>
        </w:rPr>
      </w:pPr>
    </w:p>
    <w:p w14:paraId="5E420563" w14:textId="730186DA" w:rsidR="00D0357F" w:rsidRPr="00E167BC" w:rsidRDefault="00940CAD" w:rsidP="00D0357F">
      <w:pPr>
        <w:widowControl w:val="0"/>
        <w:autoSpaceDE w:val="0"/>
        <w:autoSpaceDN w:val="0"/>
        <w:adjustRightInd w:val="0"/>
        <w:rPr>
          <w:rFonts w:ascii="Roboto" w:hAnsi="Roboto"/>
        </w:rPr>
      </w:pPr>
      <w:r w:rsidRPr="00E167BC">
        <w:rPr>
          <w:rFonts w:ascii="Roboto" w:hAnsi="Roboto"/>
          <w:b/>
          <w:color w:val="0064A3"/>
          <w:sz w:val="60"/>
        </w:rPr>
        <w:t>Popis k</w:t>
      </w:r>
      <w:r w:rsidRPr="00940CAD">
        <w:rPr>
          <w:rFonts w:ascii="Roboto" w:hAnsi="Roboto" w:cs="Roboto"/>
          <w:b/>
          <w:bCs/>
          <w:color w:val="0064A3"/>
          <w:sz w:val="60"/>
          <w:szCs w:val="60"/>
        </w:rPr>
        <w:t xml:space="preserve">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E167BC">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E167BC">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Poradové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E167BC">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Monitorované obdobie</w:t>
            </w:r>
          </w:p>
        </w:tc>
        <w:tc>
          <w:tcPr>
            <w:tcW w:w="4814" w:type="dxa"/>
            <w:gridSpan w:val="2"/>
          </w:tcPr>
          <w:p w14:paraId="38A78A42" w14:textId="28C52956"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36768947"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w:t>
            </w:r>
            <w:proofErr w:type="spellStart"/>
            <w:r w:rsidRPr="00190227">
              <w:rPr>
                <w:sz w:val="18"/>
                <w:szCs w:val="18"/>
              </w:rPr>
              <w:t>ŽoNFP</w:t>
            </w:r>
            <w:proofErr w:type="spellEnd"/>
            <w:r w:rsidRPr="00190227">
              <w:rPr>
                <w:sz w:val="18"/>
                <w:szCs w:val="18"/>
              </w:rPr>
              <w:t xml:space="preserve">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0DEC133C"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0572EFA9"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6E78DF45"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0AAE64D5" w:rsidR="00190227" w:rsidRPr="00190227" w:rsidRDefault="00190227" w:rsidP="00190227">
            <w:pPr>
              <w:rPr>
                <w:b/>
                <w:sz w:val="18"/>
                <w:szCs w:val="18"/>
                <w:u w:val="single"/>
              </w:rPr>
            </w:pPr>
            <w:r w:rsidRPr="00E167BC">
              <w:rPr>
                <w:b/>
                <w:sz w:val="18"/>
                <w:u w:val="single"/>
              </w:rPr>
              <w:t>Následná monitorovacia správa</w:t>
            </w:r>
          </w:p>
          <w:p w14:paraId="2C59C085" w14:textId="5F5EFC4B"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E167BC">
        <w:tc>
          <w:tcPr>
            <w:tcW w:w="9062" w:type="dxa"/>
            <w:gridSpan w:val="6"/>
          </w:tcPr>
          <w:p w14:paraId="24E6C61E"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lastRenderedPageBreak/>
              <w:t>1. Základné údaje o projekte</w:t>
            </w:r>
          </w:p>
        </w:tc>
      </w:tr>
      <w:tr w:rsidR="00D0357F" w:rsidRPr="004D6168" w14:paraId="79455D51" w14:textId="77777777" w:rsidTr="00E167BC">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E167BC">
        <w:tc>
          <w:tcPr>
            <w:tcW w:w="704" w:type="dxa"/>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
          <w:p w14:paraId="7D727B6C"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E167BC">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E167BC">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E167BC">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E167BC">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E167BC">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E167BC">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E167BC">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Schéma štátnej pomoci/schéma de </w:t>
            </w:r>
            <w:proofErr w:type="spellStart"/>
            <w:r w:rsidRPr="00E167BC">
              <w:rPr>
                <w:rFonts w:ascii="Roboto" w:hAnsi="Roboto"/>
                <w:b/>
                <w:color w:val="000000"/>
                <w:sz w:val="20"/>
              </w:rPr>
              <w:t>minimis</w:t>
            </w:r>
            <w:proofErr w:type="spellEnd"/>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E167BC">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E167BC">
        <w:tc>
          <w:tcPr>
            <w:tcW w:w="9062" w:type="dxa"/>
            <w:gridSpan w:val="6"/>
          </w:tcPr>
          <w:p w14:paraId="05499BE9"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Začlenenie do programovej štruktúry</w:t>
            </w:r>
          </w:p>
        </w:tc>
      </w:tr>
      <w:tr w:rsidR="00D0357F" w:rsidRPr="004D6168" w14:paraId="7A7A82A5" w14:textId="77777777" w:rsidTr="00E167BC">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E167BC">
              <w:rPr>
                <w:rFonts w:ascii="Roboto" w:hAnsi="Roboto"/>
                <w:b/>
                <w:color w:val="000000"/>
                <w:sz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E167BC">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E167BC">
              <w:rPr>
                <w:rFonts w:ascii="Roboto" w:hAnsi="Roboto"/>
                <w:b/>
                <w:color w:val="000000"/>
                <w:sz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E167BC">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E167BC">
              <w:rPr>
                <w:rFonts w:ascii="Roboto" w:hAnsi="Roboto"/>
                <w:b/>
                <w:color w:val="000000"/>
                <w:sz w:val="20"/>
              </w:rPr>
              <w:t xml:space="preserve">Konkrétny cieľ </w:t>
            </w:r>
            <w:r w:rsidRPr="00E167BC">
              <w:rPr>
                <w:rFonts w:ascii="Roboto" w:hAnsi="Roboto"/>
                <w:color w:val="000000"/>
                <w:sz w:val="20"/>
              </w:rPr>
              <w:t>(špecifický cieľ)</w:t>
            </w:r>
            <w:r w:rsidRPr="00E167BC">
              <w:rPr>
                <w:rFonts w:ascii="Roboto" w:hAnsi="Roboto"/>
                <w:b/>
                <w:color w:val="000000"/>
                <w:sz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E167BC">
        <w:tc>
          <w:tcPr>
            <w:tcW w:w="9062" w:type="dxa"/>
            <w:gridSpan w:val="6"/>
          </w:tcPr>
          <w:p w14:paraId="3B4110B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Začlenenie do strategického rámca</w:t>
            </w:r>
          </w:p>
        </w:tc>
      </w:tr>
      <w:tr w:rsidR="00D0357F" w:rsidRPr="004D6168" w14:paraId="4CB4A2A4" w14:textId="77777777" w:rsidTr="00E167BC">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E167BC">
              <w:rPr>
                <w:rFonts w:ascii="Roboto" w:hAnsi="Roboto"/>
                <w:b/>
                <w:color w:val="000000"/>
                <w:sz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E167BC">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E167BC">
              <w:rPr>
                <w:rFonts w:ascii="Roboto" w:hAnsi="Roboto"/>
                <w:b/>
                <w:color w:val="000000"/>
                <w:sz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E167BC">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E167BC">
              <w:rPr>
                <w:rFonts w:ascii="Roboto" w:hAnsi="Roboto"/>
                <w:b/>
                <w:color w:val="000000"/>
                <w:sz w:val="20"/>
              </w:rPr>
              <w:t xml:space="preserve">Konkrétny cieľ  </w:t>
            </w:r>
            <w:r w:rsidRPr="00E167BC">
              <w:rPr>
                <w:rFonts w:ascii="Roboto" w:hAnsi="Roboto"/>
                <w:color w:val="000000"/>
                <w:sz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E167BC">
        <w:tc>
          <w:tcPr>
            <w:tcW w:w="9062" w:type="dxa"/>
            <w:gridSpan w:val="6"/>
          </w:tcPr>
          <w:p w14:paraId="6543B7FE"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2.A</w:t>
            </w:r>
            <w:r w:rsidRPr="00E167BC">
              <w:rPr>
                <w:rFonts w:ascii="Roboto" w:hAnsi="Roboto"/>
              </w:rPr>
              <w:t xml:space="preserve"> </w:t>
            </w:r>
            <w:r w:rsidRPr="00E167BC">
              <w:rPr>
                <w:rFonts w:ascii="Roboto" w:hAnsi="Roboto"/>
                <w:b/>
                <w:color w:val="0064A3"/>
                <w:sz w:val="42"/>
              </w:rPr>
              <w:t>Miesto realizácie projektu</w:t>
            </w:r>
          </w:p>
        </w:tc>
      </w:tr>
      <w:tr w:rsidR="00D0357F" w:rsidRPr="004D6168" w14:paraId="1F9EC554" w14:textId="77777777" w:rsidTr="00E167BC">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E167BC" w:rsidRDefault="00D0357F" w:rsidP="00D0357F">
            <w:pPr>
              <w:widowControl w:val="0"/>
              <w:autoSpaceDE w:val="0"/>
              <w:autoSpaceDN w:val="0"/>
              <w:adjustRightInd w:val="0"/>
              <w:rPr>
                <w:rFonts w:ascii="Roboto" w:hAnsi="Roboto"/>
                <w:sz w:val="20"/>
              </w:rPr>
            </w:pPr>
            <w:proofErr w:type="spellStart"/>
            <w:r w:rsidRPr="00E167BC">
              <w:rPr>
                <w:rFonts w:ascii="Roboto" w:hAnsi="Roboto"/>
                <w:b/>
                <w:color w:val="000000"/>
                <w:sz w:val="20"/>
              </w:rPr>
              <w:t>P.č</w:t>
            </w:r>
            <w:proofErr w:type="spellEnd"/>
            <w:r w:rsidRPr="00E167BC">
              <w:rPr>
                <w:rFonts w:ascii="Roboto" w:hAnsi="Roboto"/>
                <w:b/>
                <w:color w:val="000000"/>
                <w:sz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E167BC">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E167BC">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E167BC">
              <w:rPr>
                <w:rFonts w:ascii="Roboto" w:hAnsi="Roboto"/>
                <w:b/>
                <w:color w:val="000000"/>
                <w:sz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E167BC">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E167BC">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E167BC">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E167BC">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E167BC">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Poznámka k miestu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E167BC">
        <w:tc>
          <w:tcPr>
            <w:tcW w:w="9062" w:type="dxa"/>
            <w:gridSpan w:val="6"/>
          </w:tcPr>
          <w:p w14:paraId="12A667CA"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2.B</w:t>
            </w:r>
            <w:r w:rsidRPr="00E167BC">
              <w:rPr>
                <w:rFonts w:ascii="Roboto" w:hAnsi="Roboto"/>
              </w:rPr>
              <w:t xml:space="preserve"> </w:t>
            </w:r>
            <w:r w:rsidRPr="00E167BC">
              <w:rPr>
                <w:rFonts w:ascii="Roboto" w:hAnsi="Roboto"/>
                <w:b/>
                <w:color w:val="0064A3"/>
                <w:sz w:val="42"/>
              </w:rPr>
              <w:t>Miesto realizácie projektu mimo oprávneného územia OP</w:t>
            </w:r>
          </w:p>
        </w:tc>
      </w:tr>
      <w:tr w:rsidR="00D0357F" w:rsidRPr="004D6168" w14:paraId="4F2D1416" w14:textId="77777777" w:rsidTr="00E167BC">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E167BC" w:rsidRDefault="00D0357F" w:rsidP="00D0357F">
            <w:pPr>
              <w:widowControl w:val="0"/>
              <w:autoSpaceDE w:val="0"/>
              <w:autoSpaceDN w:val="0"/>
              <w:adjustRightInd w:val="0"/>
              <w:rPr>
                <w:rFonts w:ascii="Roboto" w:hAnsi="Roboto"/>
                <w:sz w:val="20"/>
              </w:rPr>
            </w:pPr>
            <w:proofErr w:type="spellStart"/>
            <w:r w:rsidRPr="00E167BC">
              <w:rPr>
                <w:rFonts w:ascii="Roboto" w:hAnsi="Roboto"/>
                <w:b/>
                <w:color w:val="000000"/>
                <w:sz w:val="20"/>
              </w:rPr>
              <w:t>P.č</w:t>
            </w:r>
            <w:proofErr w:type="spellEnd"/>
            <w:r w:rsidRPr="00E167BC">
              <w:rPr>
                <w:rFonts w:ascii="Roboto" w:hAnsi="Roboto"/>
                <w:b/>
                <w:color w:val="000000"/>
                <w:sz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E167BC">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E167BC">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E167BC">
              <w:rPr>
                <w:rFonts w:ascii="Roboto" w:hAnsi="Roboto"/>
                <w:b/>
                <w:color w:val="000000"/>
                <w:sz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E167BC">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E167BC">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E167BC">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E167BC">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E167BC">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E167BC">
        <w:tc>
          <w:tcPr>
            <w:tcW w:w="9062" w:type="dxa"/>
            <w:gridSpan w:val="6"/>
          </w:tcPr>
          <w:p w14:paraId="4D93B00A" w14:textId="77777777" w:rsidR="00D0357F" w:rsidRDefault="00D0357F" w:rsidP="00D0357F">
            <w:pPr>
              <w:widowControl w:val="0"/>
              <w:autoSpaceDE w:val="0"/>
              <w:autoSpaceDN w:val="0"/>
              <w:adjustRightInd w:val="0"/>
            </w:pPr>
            <w:r w:rsidRPr="00E167BC">
              <w:rPr>
                <w:rFonts w:ascii="Roboto" w:hAnsi="Roboto"/>
                <w:b/>
                <w:color w:val="0064A3"/>
                <w:sz w:val="42"/>
              </w:rPr>
              <w:t>3. Príspevok k horizontálnym princípom</w:t>
            </w:r>
          </w:p>
          <w:p w14:paraId="35D55A2F" w14:textId="77777777" w:rsidR="00D0357F" w:rsidRPr="00E167BC"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E167BC">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Opatrenia a aktivity prijaté 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w:t>
            </w:r>
            <w:proofErr w:type="spellStart"/>
            <w:r w:rsidRPr="00D5119B">
              <w:rPr>
                <w:sz w:val="18"/>
                <w:szCs w:val="18"/>
              </w:rPr>
              <w:t>ŽoNFP</w:t>
            </w:r>
            <w:proofErr w:type="spellEnd"/>
            <w:r w:rsidRPr="00D5119B">
              <w:rPr>
                <w:sz w:val="18"/>
                <w:szCs w:val="18"/>
              </w:rPr>
              <w:t xml:space="preserve"> (max. 1500 znakov)</w:t>
            </w:r>
          </w:p>
        </w:tc>
      </w:tr>
      <w:tr w:rsidR="00D0357F" w:rsidRPr="004D6168" w14:paraId="0E997AFB" w14:textId="77777777" w:rsidTr="00E167BC">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Konkrétne výsledky, ktoré boli dosiahnuté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E167BC">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Opatrenia a aktivity prijaté na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E167BC">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Opatrenia a aktivity prijaté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E167BC">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Konkrétne výsledky, ktoré boli </w:t>
            </w:r>
            <w:r w:rsidRPr="00E167BC">
              <w:rPr>
                <w:rFonts w:ascii="Roboto" w:hAnsi="Roboto"/>
                <w:b/>
                <w:color w:val="000000"/>
                <w:sz w:val="20"/>
              </w:rPr>
              <w:lastRenderedPageBreak/>
              <w:t>dosiahnuté v oblasti podpory rovnosti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lastRenderedPageBreak/>
              <w:t>Vypĺňa prijímateľ</w:t>
            </w:r>
          </w:p>
        </w:tc>
      </w:tr>
      <w:tr w:rsidR="00D0357F" w14:paraId="15B9E3BC" w14:textId="77777777" w:rsidTr="00E167BC">
        <w:tc>
          <w:tcPr>
            <w:tcW w:w="9062" w:type="dxa"/>
            <w:gridSpan w:val="6"/>
          </w:tcPr>
          <w:p w14:paraId="00B69DC3" w14:textId="77777777" w:rsidR="00D0357F" w:rsidRPr="00E167BC" w:rsidRDefault="00D0357F" w:rsidP="00D0357F">
            <w:pPr>
              <w:widowControl w:val="0"/>
              <w:autoSpaceDE w:val="0"/>
              <w:autoSpaceDN w:val="0"/>
              <w:adjustRightInd w:val="0"/>
              <w:rPr>
                <w:rFonts w:ascii="Roboto" w:hAnsi="Roboto"/>
                <w:b/>
                <w:color w:val="0064A3"/>
                <w:sz w:val="42"/>
              </w:rPr>
            </w:pPr>
            <w:r w:rsidRPr="00E167BC">
              <w:rPr>
                <w:rFonts w:ascii="Roboto" w:hAnsi="Roboto"/>
                <w:b/>
                <w:color w:val="0064A3"/>
                <w:sz w:val="42"/>
              </w:rPr>
              <w:t>4. Hodnoty merateľných ukazovateľov za aktivity</w:t>
            </w:r>
          </w:p>
          <w:p w14:paraId="78CEFC5B" w14:textId="5A01BCEF"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E167BC" w:rsidRDefault="00D0357F" w:rsidP="00D0357F">
            <w:pPr>
              <w:widowControl w:val="0"/>
              <w:autoSpaceDE w:val="0"/>
              <w:autoSpaceDN w:val="0"/>
              <w:adjustRightInd w:val="0"/>
              <w:rPr>
                <w:rFonts w:ascii="Roboto" w:hAnsi="Roboto"/>
                <w:b/>
                <w:color w:val="0064A3"/>
                <w:sz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E167BC">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E167BC">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E167BC">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Merateľný ukazovateľ</w:t>
            </w:r>
          </w:p>
        </w:tc>
        <w:tc>
          <w:tcPr>
            <w:tcW w:w="4814" w:type="dxa"/>
            <w:gridSpan w:val="2"/>
          </w:tcPr>
          <w:p w14:paraId="618FC4A8" w14:textId="0FBA080D"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E167BC">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Relevancia merateľného ukazovateľa k HP</w:t>
            </w:r>
          </w:p>
        </w:tc>
        <w:tc>
          <w:tcPr>
            <w:tcW w:w="4814" w:type="dxa"/>
            <w:gridSpan w:val="2"/>
          </w:tcPr>
          <w:p w14:paraId="31D27997" w14:textId="6ED38B6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E167BC">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Príznak rizika</w:t>
            </w:r>
          </w:p>
        </w:tc>
        <w:tc>
          <w:tcPr>
            <w:tcW w:w="4814" w:type="dxa"/>
            <w:gridSpan w:val="2"/>
          </w:tcPr>
          <w:p w14:paraId="010AF286" w14:textId="4498B0FC"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E167BC">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Merná jednotka</w:t>
            </w:r>
          </w:p>
        </w:tc>
        <w:tc>
          <w:tcPr>
            <w:tcW w:w="4814" w:type="dxa"/>
            <w:gridSpan w:val="2"/>
          </w:tcPr>
          <w:p w14:paraId="41C5195E" w14:textId="656B22F6"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E167BC">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Plánovaný stav</w:t>
            </w:r>
          </w:p>
        </w:tc>
        <w:tc>
          <w:tcPr>
            <w:tcW w:w="4814" w:type="dxa"/>
            <w:gridSpan w:val="2"/>
          </w:tcPr>
          <w:p w14:paraId="67B66F99" w14:textId="5A293492"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E167BC">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Skutočný stav </w:t>
            </w:r>
            <w:proofErr w:type="spellStart"/>
            <w:r w:rsidRPr="00E167BC">
              <w:rPr>
                <w:rFonts w:ascii="Roboto" w:hAnsi="Roboto"/>
                <w:b/>
                <w:color w:val="000000"/>
                <w:sz w:val="20"/>
              </w:rPr>
              <w:t>kumulatív</w:t>
            </w:r>
            <w:proofErr w:type="spellEnd"/>
          </w:p>
        </w:tc>
        <w:tc>
          <w:tcPr>
            <w:tcW w:w="2126" w:type="dxa"/>
            <w:gridSpan w:val="2"/>
          </w:tcPr>
          <w:p w14:paraId="518327E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23256CE2"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E167BC">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E167BC" w:rsidRDefault="00D0357F" w:rsidP="00D0357F">
            <w:pPr>
              <w:widowControl w:val="0"/>
              <w:autoSpaceDE w:val="0"/>
              <w:autoSpaceDN w:val="0"/>
              <w:adjustRightInd w:val="0"/>
              <w:rPr>
                <w:rFonts w:ascii="Roboto" w:hAnsi="Roboto"/>
                <w:b/>
                <w:color w:val="000000"/>
                <w:sz w:val="20"/>
              </w:rPr>
            </w:pPr>
          </w:p>
        </w:tc>
        <w:tc>
          <w:tcPr>
            <w:tcW w:w="2126" w:type="dxa"/>
            <w:gridSpan w:val="2"/>
          </w:tcPr>
          <w:p w14:paraId="7829A782"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E167BC">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E167BC" w:rsidRDefault="00D0357F" w:rsidP="00D0357F">
            <w:pPr>
              <w:widowControl w:val="0"/>
              <w:autoSpaceDE w:val="0"/>
              <w:autoSpaceDN w:val="0"/>
              <w:adjustRightInd w:val="0"/>
              <w:rPr>
                <w:rFonts w:ascii="Roboto" w:hAnsi="Roboto"/>
                <w:b/>
                <w:color w:val="000000"/>
                <w:sz w:val="20"/>
              </w:rPr>
            </w:pPr>
          </w:p>
        </w:tc>
        <w:tc>
          <w:tcPr>
            <w:tcW w:w="2126" w:type="dxa"/>
            <w:gridSpan w:val="2"/>
          </w:tcPr>
          <w:p w14:paraId="60571092"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E167BC">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Miera plnenia </w:t>
            </w:r>
            <w:proofErr w:type="spellStart"/>
            <w:r w:rsidRPr="00E167BC">
              <w:rPr>
                <w:rFonts w:ascii="Roboto" w:hAnsi="Roboto"/>
                <w:b/>
                <w:color w:val="000000"/>
                <w:sz w:val="20"/>
              </w:rPr>
              <w:t>kumulatív</w:t>
            </w:r>
            <w:proofErr w:type="spellEnd"/>
            <w:r w:rsidRPr="00E167BC">
              <w:rPr>
                <w:rFonts w:ascii="Roboto" w:hAnsi="Roboto"/>
                <w:b/>
                <w:color w:val="000000"/>
                <w:sz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E167BC">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Skutočný stav ročný</w:t>
            </w:r>
          </w:p>
        </w:tc>
        <w:tc>
          <w:tcPr>
            <w:tcW w:w="2126" w:type="dxa"/>
            <w:gridSpan w:val="2"/>
          </w:tcPr>
          <w:p w14:paraId="18F6803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6EA59CD3"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lastRenderedPageBreak/>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E167BC">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E167BC" w:rsidRDefault="00D0357F" w:rsidP="00D0357F">
            <w:pPr>
              <w:widowControl w:val="0"/>
              <w:autoSpaceDE w:val="0"/>
              <w:autoSpaceDN w:val="0"/>
              <w:adjustRightInd w:val="0"/>
              <w:rPr>
                <w:rFonts w:ascii="Roboto" w:hAnsi="Roboto"/>
                <w:b/>
                <w:color w:val="000000"/>
                <w:sz w:val="20"/>
              </w:rPr>
            </w:pPr>
          </w:p>
        </w:tc>
        <w:tc>
          <w:tcPr>
            <w:tcW w:w="2126" w:type="dxa"/>
            <w:gridSpan w:val="2"/>
          </w:tcPr>
          <w:p w14:paraId="3EFD4807"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E167BC">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E167BC" w:rsidRDefault="00D0357F" w:rsidP="00D0357F">
            <w:pPr>
              <w:widowControl w:val="0"/>
              <w:autoSpaceDE w:val="0"/>
              <w:autoSpaceDN w:val="0"/>
              <w:adjustRightInd w:val="0"/>
              <w:rPr>
                <w:rFonts w:ascii="Roboto" w:hAnsi="Roboto"/>
                <w:b/>
                <w:color w:val="000000"/>
                <w:sz w:val="20"/>
              </w:rPr>
            </w:pPr>
          </w:p>
        </w:tc>
        <w:tc>
          <w:tcPr>
            <w:tcW w:w="2126" w:type="dxa"/>
            <w:gridSpan w:val="2"/>
          </w:tcPr>
          <w:p w14:paraId="02B2E6A9"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E167BC">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E167BC">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Poznámky k aktivite</w:t>
            </w:r>
            <w:r w:rsidRPr="00E167BC">
              <w:rPr>
                <w:rFonts w:ascii="Roboto" w:hAnsi="Roboto"/>
                <w:color w:val="000000"/>
                <w:sz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E167BC">
        <w:tc>
          <w:tcPr>
            <w:tcW w:w="9062" w:type="dxa"/>
            <w:gridSpan w:val="6"/>
          </w:tcPr>
          <w:p w14:paraId="23CD48BC" w14:textId="77777777" w:rsidR="00D0357F" w:rsidRPr="00E167BC" w:rsidRDefault="00D0357F" w:rsidP="00D0357F">
            <w:pPr>
              <w:widowControl w:val="0"/>
              <w:autoSpaceDE w:val="0"/>
              <w:autoSpaceDN w:val="0"/>
              <w:adjustRightInd w:val="0"/>
              <w:rPr>
                <w:rFonts w:ascii="Roboto" w:hAnsi="Roboto"/>
                <w:b/>
                <w:color w:val="0064A3"/>
                <w:sz w:val="42"/>
              </w:rPr>
            </w:pPr>
            <w:r w:rsidRPr="00E167BC">
              <w:rPr>
                <w:rFonts w:ascii="Roboto" w:hAnsi="Roboto"/>
                <w:b/>
                <w:color w:val="0064A3"/>
                <w:sz w:val="42"/>
              </w:rPr>
              <w:t>5. Hodnoty merateľných ukazovateľov za projekt</w:t>
            </w:r>
          </w:p>
          <w:p w14:paraId="156C21C7" w14:textId="627E4250" w:rsidR="00D0357F" w:rsidRPr="00E167BC"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E167BC">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Merateľný ukazovateľ</w:t>
            </w:r>
          </w:p>
        </w:tc>
        <w:tc>
          <w:tcPr>
            <w:tcW w:w="4814" w:type="dxa"/>
            <w:gridSpan w:val="2"/>
          </w:tcPr>
          <w:p w14:paraId="7C6B3E62" w14:textId="20C2D40D"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E167BC">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Relevancia merateľného ukazovateľa</w:t>
            </w:r>
            <w:r w:rsidRPr="00E167BC">
              <w:rPr>
                <w:rFonts w:ascii="Roboto" w:hAnsi="Roboto"/>
                <w:b/>
                <w:color w:val="000000"/>
                <w:sz w:val="20"/>
              </w:rPr>
              <w:br/>
              <w:t>k HP</w:t>
            </w:r>
          </w:p>
        </w:tc>
        <w:tc>
          <w:tcPr>
            <w:tcW w:w="4814" w:type="dxa"/>
            <w:gridSpan w:val="2"/>
          </w:tcPr>
          <w:p w14:paraId="2F929DB0" w14:textId="6D4DBA28"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E167BC">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Príznak rizika</w:t>
            </w:r>
          </w:p>
        </w:tc>
        <w:tc>
          <w:tcPr>
            <w:tcW w:w="4814" w:type="dxa"/>
            <w:gridSpan w:val="2"/>
          </w:tcPr>
          <w:p w14:paraId="12816D29" w14:textId="59EB7CA7"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E167BC">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Merná jednotka</w:t>
            </w:r>
          </w:p>
        </w:tc>
        <w:tc>
          <w:tcPr>
            <w:tcW w:w="4814" w:type="dxa"/>
            <w:gridSpan w:val="2"/>
          </w:tcPr>
          <w:p w14:paraId="4B0A9BE5" w14:textId="3A19F0B4"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E167BC">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E167BC">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Plánovaný stav</w:t>
            </w:r>
          </w:p>
        </w:tc>
        <w:tc>
          <w:tcPr>
            <w:tcW w:w="4814" w:type="dxa"/>
            <w:gridSpan w:val="2"/>
          </w:tcPr>
          <w:p w14:paraId="2C55245E" w14:textId="103401A9"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E167BC">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 xml:space="preserve">Skutočný stav </w:t>
            </w:r>
            <w:proofErr w:type="spellStart"/>
            <w:r w:rsidRPr="00E167BC">
              <w:rPr>
                <w:rFonts w:ascii="Roboto" w:hAnsi="Roboto"/>
                <w:b/>
                <w:color w:val="000000"/>
                <w:sz w:val="20"/>
              </w:rPr>
              <w:t>kumulatív</w:t>
            </w:r>
            <w:proofErr w:type="spellEnd"/>
          </w:p>
          <w:p w14:paraId="66277E11" w14:textId="77777777" w:rsidR="00D0357F" w:rsidRPr="00E167BC" w:rsidRDefault="00D0357F" w:rsidP="00D0357F">
            <w:pPr>
              <w:widowControl w:val="0"/>
              <w:autoSpaceDE w:val="0"/>
              <w:autoSpaceDN w:val="0"/>
              <w:adjustRightInd w:val="0"/>
              <w:rPr>
                <w:rFonts w:ascii="Roboto" w:hAnsi="Roboto"/>
                <w:sz w:val="20"/>
              </w:rPr>
            </w:pPr>
          </w:p>
        </w:tc>
        <w:tc>
          <w:tcPr>
            <w:tcW w:w="1772" w:type="dxa"/>
          </w:tcPr>
          <w:p w14:paraId="141C3AA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E167BC">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E167BC" w:rsidRDefault="00D0357F" w:rsidP="00D0357F">
            <w:pPr>
              <w:widowControl w:val="0"/>
              <w:autoSpaceDE w:val="0"/>
              <w:autoSpaceDN w:val="0"/>
              <w:adjustRightInd w:val="0"/>
              <w:rPr>
                <w:rFonts w:ascii="Roboto" w:hAnsi="Roboto"/>
                <w:b/>
                <w:color w:val="000000"/>
                <w:sz w:val="20"/>
              </w:rPr>
            </w:pPr>
          </w:p>
        </w:tc>
        <w:tc>
          <w:tcPr>
            <w:tcW w:w="1772" w:type="dxa"/>
          </w:tcPr>
          <w:p w14:paraId="40609B77"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E167BC">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E167BC" w:rsidRDefault="00D0357F" w:rsidP="00D0357F">
            <w:pPr>
              <w:widowControl w:val="0"/>
              <w:autoSpaceDE w:val="0"/>
              <w:autoSpaceDN w:val="0"/>
              <w:adjustRightInd w:val="0"/>
              <w:rPr>
                <w:rFonts w:ascii="Roboto" w:hAnsi="Roboto"/>
                <w:b/>
                <w:color w:val="000000"/>
                <w:sz w:val="20"/>
              </w:rPr>
            </w:pPr>
          </w:p>
        </w:tc>
        <w:tc>
          <w:tcPr>
            <w:tcW w:w="1772" w:type="dxa"/>
          </w:tcPr>
          <w:p w14:paraId="3475F0AD"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E167BC">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Miera plnenia </w:t>
            </w:r>
            <w:proofErr w:type="spellStart"/>
            <w:r w:rsidRPr="00E167BC">
              <w:rPr>
                <w:rFonts w:ascii="Roboto" w:hAnsi="Roboto"/>
                <w:b/>
                <w:color w:val="000000"/>
                <w:sz w:val="20"/>
              </w:rPr>
              <w:t>kumulatív</w:t>
            </w:r>
            <w:proofErr w:type="spellEnd"/>
            <w:r w:rsidRPr="00E167BC">
              <w:rPr>
                <w:rFonts w:ascii="Roboto" w:hAnsi="Roboto"/>
                <w:b/>
                <w:color w:val="000000"/>
                <w:sz w:val="20"/>
              </w:rPr>
              <w:br/>
            </w:r>
            <w:r w:rsidRPr="00E167BC">
              <w:rPr>
                <w:rFonts w:ascii="Roboto" w:hAnsi="Roboto"/>
                <w:b/>
                <w:color w:val="000000"/>
                <w:sz w:val="20"/>
              </w:rPr>
              <w:lastRenderedPageBreak/>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lastRenderedPageBreak/>
              <w:t xml:space="preserve">Automaticky vyplnené - (66=65/62) </w:t>
            </w:r>
            <w:r w:rsidRPr="002D7AB2">
              <w:rPr>
                <w:sz w:val="18"/>
                <w:szCs w:val="18"/>
              </w:rPr>
              <w:t xml:space="preserve">Pomer skutočného stavu </w:t>
            </w:r>
            <w:r w:rsidRPr="002D7AB2">
              <w:rPr>
                <w:sz w:val="18"/>
                <w:szCs w:val="18"/>
              </w:rPr>
              <w:lastRenderedPageBreak/>
              <w:t>(stĺpec č. 65) k plánovanému stavu (stĺpec č. 62) merateľného ukazovateľa  projektu v percentuálnom vyjadrení</w:t>
            </w:r>
          </w:p>
        </w:tc>
      </w:tr>
      <w:tr w:rsidR="00D0357F" w:rsidRPr="004D6168" w14:paraId="7F4622B8" w14:textId="77777777" w:rsidTr="00E167BC">
        <w:tc>
          <w:tcPr>
            <w:tcW w:w="704" w:type="dxa"/>
          </w:tcPr>
          <w:p w14:paraId="09850B33" w14:textId="77777777" w:rsidR="00D0357F" w:rsidRPr="004D6168" w:rsidRDefault="00D0357F" w:rsidP="00D0357F">
            <w:pPr>
              <w:rPr>
                <w:sz w:val="20"/>
                <w:szCs w:val="20"/>
              </w:rPr>
            </w:pPr>
            <w:r w:rsidRPr="004D6168">
              <w:rPr>
                <w:sz w:val="20"/>
                <w:szCs w:val="20"/>
              </w:rPr>
              <w:lastRenderedPageBreak/>
              <w:t>67</w:t>
            </w:r>
          </w:p>
        </w:tc>
        <w:tc>
          <w:tcPr>
            <w:tcW w:w="1772" w:type="dxa"/>
            <w:gridSpan w:val="2"/>
            <w:vMerge w:val="restart"/>
          </w:tcPr>
          <w:p w14:paraId="500B4FBC"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Skutočný stav ročný</w:t>
            </w:r>
          </w:p>
          <w:p w14:paraId="5CFEBF94" w14:textId="77777777" w:rsidR="00D0357F" w:rsidRPr="00E167BC" w:rsidRDefault="00D0357F" w:rsidP="00D0357F">
            <w:pPr>
              <w:widowControl w:val="0"/>
              <w:autoSpaceDE w:val="0"/>
              <w:autoSpaceDN w:val="0"/>
              <w:adjustRightInd w:val="0"/>
              <w:rPr>
                <w:rFonts w:ascii="Roboto" w:hAnsi="Roboto"/>
                <w:sz w:val="20"/>
              </w:rPr>
            </w:pPr>
          </w:p>
        </w:tc>
        <w:tc>
          <w:tcPr>
            <w:tcW w:w="1772" w:type="dxa"/>
          </w:tcPr>
          <w:p w14:paraId="34087A4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E167BC">
        <w:tc>
          <w:tcPr>
            <w:tcW w:w="704" w:type="dxa"/>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
          <w:p w14:paraId="10478870" w14:textId="77777777" w:rsidR="00D0357F" w:rsidRPr="00E167BC" w:rsidRDefault="00D0357F" w:rsidP="00D0357F">
            <w:pPr>
              <w:widowControl w:val="0"/>
              <w:autoSpaceDE w:val="0"/>
              <w:autoSpaceDN w:val="0"/>
              <w:adjustRightInd w:val="0"/>
              <w:rPr>
                <w:rFonts w:ascii="Roboto" w:hAnsi="Roboto"/>
                <w:b/>
                <w:color w:val="000000"/>
                <w:sz w:val="20"/>
              </w:rPr>
            </w:pPr>
          </w:p>
        </w:tc>
        <w:tc>
          <w:tcPr>
            <w:tcW w:w="1772" w:type="dxa"/>
          </w:tcPr>
          <w:p w14:paraId="2349F9D2"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E167BC">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E167BC">
              <w:rPr>
                <w:rFonts w:ascii="Roboto" w:hAnsi="Roboto"/>
                <w:b/>
                <w:color w:val="000000"/>
                <w:sz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E167BC">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E167BC">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Poznámky k merateľnému ukazovateľu</w:t>
            </w:r>
            <w:r w:rsidRPr="00E167BC">
              <w:rPr>
                <w:rFonts w:ascii="Roboto" w:hAnsi="Roboto"/>
                <w:color w:val="000000"/>
                <w:sz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E167BC">
        <w:tc>
          <w:tcPr>
            <w:tcW w:w="9062" w:type="dxa"/>
            <w:gridSpan w:val="6"/>
          </w:tcPr>
          <w:p w14:paraId="01D51058"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6. Vzťah aktivít a finančnej realizácie projektu</w:t>
            </w:r>
          </w:p>
        </w:tc>
      </w:tr>
      <w:tr w:rsidR="00D0357F" w:rsidRPr="004D6168" w14:paraId="5DAE7860" w14:textId="77777777" w:rsidTr="00E167BC">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E167BC">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Celkové zúčtované/preplatené prostriedky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E167BC">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sidRPr="00E167BC">
              <w:rPr>
                <w:rFonts w:ascii="Roboto" w:hAnsi="Roboto"/>
                <w:b/>
                <w:color w:val="000000"/>
                <w:sz w:val="20"/>
              </w:rPr>
              <w:t>Identifikácia subjektu</w:t>
            </w:r>
            <w:r w:rsidRPr="00E167BC">
              <w:rPr>
                <w:rFonts w:ascii="Roboto" w:hAnsi="Roboto"/>
                <w:color w:val="000000"/>
                <w:sz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E167BC">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E167BC">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Celkové zúčtované/preplatené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E167BC">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E167BC">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Začiatok realizácie aktivity</w:t>
            </w:r>
            <w:r w:rsidRPr="00E167BC">
              <w:rPr>
                <w:rFonts w:ascii="Roboto" w:hAnsi="Roboto"/>
                <w:b/>
                <w:color w:val="000000"/>
                <w:sz w:val="20"/>
              </w:rPr>
              <w:br/>
              <w:t>(MM/RRRR)</w:t>
            </w:r>
          </w:p>
        </w:tc>
        <w:tc>
          <w:tcPr>
            <w:tcW w:w="1772" w:type="dxa"/>
          </w:tcPr>
          <w:p w14:paraId="56BB6E86"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E167BC">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E167BC">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Koniec realizácie aktivity</w:t>
            </w:r>
            <w:r w:rsidRPr="00E167BC">
              <w:rPr>
                <w:rFonts w:ascii="Roboto" w:hAnsi="Roboto"/>
                <w:b/>
                <w:color w:val="000000"/>
                <w:sz w:val="20"/>
              </w:rPr>
              <w:br/>
              <w:t>(MM/RRRR)</w:t>
            </w:r>
          </w:p>
        </w:tc>
        <w:tc>
          <w:tcPr>
            <w:tcW w:w="1772" w:type="dxa"/>
          </w:tcPr>
          <w:p w14:paraId="2345DA17"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E167BC">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E167BC">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Finančná realizácia projektu</w:t>
            </w:r>
            <w:r w:rsidRPr="00E167BC">
              <w:rPr>
                <w:rFonts w:ascii="Roboto" w:hAnsi="Roboto"/>
                <w:b/>
                <w:color w:val="000000"/>
                <w:sz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E167BC" w:rsidRDefault="00D0357F" w:rsidP="00D0357F">
            <w:pPr>
              <w:widowControl w:val="0"/>
              <w:autoSpaceDE w:val="0"/>
              <w:autoSpaceDN w:val="0"/>
              <w:adjustRightInd w:val="0"/>
              <w:jc w:val="center"/>
              <w:rPr>
                <w:rFonts w:ascii="Roboto" w:hAnsi="Roboto"/>
                <w:sz w:val="20"/>
              </w:rPr>
            </w:pPr>
            <w:proofErr w:type="spellStart"/>
            <w:r w:rsidRPr="00E167BC">
              <w:rPr>
                <w:rFonts w:ascii="Roboto" w:hAnsi="Roboto"/>
                <w:b/>
                <w:color w:val="000000"/>
                <w:sz w:val="20"/>
              </w:rPr>
              <w:t>Zazmluvnená</w:t>
            </w:r>
            <w:proofErr w:type="spellEnd"/>
            <w:r w:rsidRPr="00E167BC">
              <w:rPr>
                <w:rFonts w:ascii="Roboto" w:hAnsi="Roboto"/>
                <w:b/>
                <w:color w:val="000000"/>
                <w:sz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E167BC">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w:t>
            </w:r>
            <w:proofErr w:type="spellStart"/>
            <w:r>
              <w:rPr>
                <w:sz w:val="18"/>
                <w:szCs w:val="18"/>
              </w:rPr>
              <w:t>ŽoP</w:t>
            </w:r>
            <w:proofErr w:type="spellEnd"/>
            <w:r>
              <w:rPr>
                <w:sz w:val="18"/>
                <w:szCs w:val="18"/>
              </w:rPr>
              <w:t xml:space="preserve"> typu Refundácia, Zúčtovanie zálohovej platby a Zúčtovanie </w:t>
            </w:r>
            <w:proofErr w:type="spellStart"/>
            <w:r>
              <w:rPr>
                <w:sz w:val="18"/>
                <w:szCs w:val="18"/>
              </w:rPr>
              <w:t>predfinancovania</w:t>
            </w:r>
            <w:proofErr w:type="spellEnd"/>
            <w:r>
              <w:rPr>
                <w:sz w:val="18"/>
                <w:szCs w:val="18"/>
              </w:rPr>
              <w:t>, ktoré sú predložené na RO/SO + suma oprávnená zo všetkých výdavkov deklarovaných v </w:t>
            </w:r>
            <w:proofErr w:type="spellStart"/>
            <w:r>
              <w:rPr>
                <w:sz w:val="18"/>
                <w:szCs w:val="18"/>
              </w:rPr>
              <w:t>ŽoP</w:t>
            </w:r>
            <w:proofErr w:type="spellEnd"/>
            <w:r>
              <w:rPr>
                <w:sz w:val="18"/>
                <w:szCs w:val="18"/>
              </w:rPr>
              <w:t xml:space="preserve"> typu Refundácia, Zúčtovanie zálohovej platby a Zúčtovanie </w:t>
            </w:r>
            <w:proofErr w:type="spellStart"/>
            <w:r>
              <w:rPr>
                <w:sz w:val="18"/>
                <w:szCs w:val="18"/>
              </w:rPr>
              <w:t>predfinancovania</w:t>
            </w:r>
            <w:proofErr w:type="spellEnd"/>
            <w:r>
              <w:rPr>
                <w:sz w:val="18"/>
                <w:szCs w:val="18"/>
              </w:rPr>
              <w:t>, ktoré sú schválené/zúčtované RO/SO</w:t>
            </w:r>
          </w:p>
        </w:tc>
      </w:tr>
      <w:tr w:rsidR="00D0357F" w:rsidRPr="004D6168" w14:paraId="6E5724CD" w14:textId="77777777" w:rsidTr="00E167BC">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E167BC">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E167BC">
        <w:tc>
          <w:tcPr>
            <w:tcW w:w="9062" w:type="dxa"/>
            <w:gridSpan w:val="6"/>
          </w:tcPr>
          <w:p w14:paraId="1FD546F0"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7. Príjmy projektu</w:t>
            </w:r>
          </w:p>
        </w:tc>
      </w:tr>
      <w:tr w:rsidR="00D0357F" w:rsidRPr="004D6168" w14:paraId="73EF72C5" w14:textId="77777777" w:rsidTr="00E167BC">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Celkové príjmy projektu v monitorovanom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E167BC">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 xml:space="preserve">Čisté príjmy projektu v </w:t>
            </w:r>
            <w:r w:rsidRPr="00E167BC">
              <w:rPr>
                <w:rFonts w:ascii="Roboto" w:hAnsi="Roboto"/>
                <w:b/>
                <w:color w:val="000000"/>
                <w:sz w:val="20"/>
              </w:rPr>
              <w:lastRenderedPageBreak/>
              <w:t>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lastRenderedPageBreak/>
              <w:t>Vypĺňa prijímateľ</w:t>
            </w:r>
          </w:p>
        </w:tc>
      </w:tr>
      <w:tr w:rsidR="00D0357F" w:rsidRPr="004D6168" w14:paraId="41E674F3" w14:textId="77777777" w:rsidTr="00E167BC">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Prevádzkové výdavky 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E167BC">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E167BC">
        <w:tc>
          <w:tcPr>
            <w:tcW w:w="9062" w:type="dxa"/>
            <w:gridSpan w:val="6"/>
          </w:tcPr>
          <w:p w14:paraId="45F3696A" w14:textId="77777777" w:rsidR="00D0357F" w:rsidRPr="00E167BC" w:rsidRDefault="00D0357F" w:rsidP="00D0357F">
            <w:pPr>
              <w:widowControl w:val="0"/>
              <w:autoSpaceDE w:val="0"/>
              <w:autoSpaceDN w:val="0"/>
              <w:adjustRightInd w:val="0"/>
              <w:rPr>
                <w:rFonts w:ascii="Roboto" w:hAnsi="Roboto"/>
                <w:b/>
                <w:color w:val="0064A3"/>
                <w:sz w:val="42"/>
              </w:rPr>
            </w:pPr>
            <w:r w:rsidRPr="00E167BC">
              <w:rPr>
                <w:rFonts w:ascii="Roboto" w:hAnsi="Roboto"/>
                <w:b/>
                <w:color w:val="0064A3"/>
                <w:sz w:val="42"/>
              </w:rPr>
              <w:t>8. Iné peňažné príjmy projektu</w:t>
            </w:r>
          </w:p>
          <w:p w14:paraId="261FE971" w14:textId="77777777" w:rsidR="00D0357F" w:rsidRPr="00E167BC"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E167BC">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E167BC">
        <w:tc>
          <w:tcPr>
            <w:tcW w:w="9062" w:type="dxa"/>
            <w:gridSpan w:val="6"/>
          </w:tcPr>
          <w:p w14:paraId="38066A9F"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9. Iné údaje na úrovni projektu</w:t>
            </w:r>
          </w:p>
        </w:tc>
      </w:tr>
      <w:tr w:rsidR="00D0357F" w:rsidRPr="004D6168" w14:paraId="3515BE7B" w14:textId="77777777" w:rsidTr="00E167BC">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E167BC">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Konkrétny cieľ</w:t>
            </w:r>
            <w:r w:rsidRPr="00E167BC">
              <w:rPr>
                <w:rFonts w:ascii="Roboto" w:hAnsi="Roboto"/>
                <w:color w:val="000000"/>
                <w:sz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E167BC">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E167BC">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 xml:space="preserve">Skutočný stav </w:t>
            </w:r>
            <w:proofErr w:type="spellStart"/>
            <w:r w:rsidRPr="00E167BC">
              <w:rPr>
                <w:rFonts w:ascii="Roboto" w:hAnsi="Roboto"/>
                <w:b/>
                <w:color w:val="000000"/>
                <w:sz w:val="20"/>
              </w:rPr>
              <w:t>kumulatív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E167BC">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E167BC">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Pr="00E167BC" w:rsidRDefault="00D0357F" w:rsidP="00D0357F">
            <w:pPr>
              <w:rPr>
                <w:rFonts w:ascii="Roboto" w:hAnsi="Roboto"/>
                <w:b/>
                <w:color w:val="000000"/>
                <w:sz w:val="20"/>
              </w:rPr>
            </w:pPr>
            <w:r w:rsidRPr="00E167BC">
              <w:rPr>
                <w:rFonts w:ascii="Roboto" w:hAnsi="Roboto"/>
                <w:b/>
                <w:color w:val="000000"/>
                <w:sz w:val="20"/>
              </w:rPr>
              <w:t>spolu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E167BC">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E167BC">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E167BC">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E167BC">
              <w:rPr>
                <w:rFonts w:ascii="Roboto" w:hAnsi="Roboto"/>
                <w:b/>
                <w:color w:val="000000"/>
                <w:sz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E167BC">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Poznámky k inému údaju</w:t>
            </w:r>
            <w:r w:rsidRPr="00E167BC">
              <w:rPr>
                <w:rFonts w:ascii="Roboto" w:hAnsi="Roboto"/>
                <w:color w:val="000000"/>
                <w:sz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E167BC">
        <w:tc>
          <w:tcPr>
            <w:tcW w:w="9062" w:type="dxa"/>
            <w:gridSpan w:val="6"/>
          </w:tcPr>
          <w:p w14:paraId="759D629F" w14:textId="77777777" w:rsidR="00D0357F" w:rsidRPr="00E167BC" w:rsidRDefault="00D0357F" w:rsidP="00D0357F">
            <w:pPr>
              <w:widowControl w:val="0"/>
              <w:autoSpaceDE w:val="0"/>
              <w:autoSpaceDN w:val="0"/>
              <w:adjustRightInd w:val="0"/>
              <w:rPr>
                <w:rFonts w:ascii="Roboto" w:hAnsi="Roboto"/>
                <w:b/>
                <w:color w:val="0064A3"/>
                <w:sz w:val="28"/>
              </w:rPr>
            </w:pPr>
            <w:r w:rsidRPr="00E167BC">
              <w:rPr>
                <w:rFonts w:ascii="Roboto" w:hAnsi="Roboto"/>
                <w:b/>
                <w:color w:val="0064A3"/>
                <w:sz w:val="28"/>
              </w:rPr>
              <w:t>9.A  Iné údaje o cieľovej skupine</w:t>
            </w:r>
          </w:p>
          <w:p w14:paraId="31DD5E9B" w14:textId="363062D2" w:rsidR="00D0357F" w:rsidRPr="00E167BC"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E167BC">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ženy</w:t>
            </w:r>
          </w:p>
        </w:tc>
        <w:tc>
          <w:tcPr>
            <w:tcW w:w="4814" w:type="dxa"/>
            <w:gridSpan w:val="2"/>
          </w:tcPr>
          <w:p w14:paraId="6A4D1B83" w14:textId="77777777" w:rsidR="00D0357F" w:rsidRPr="00E167BC" w:rsidRDefault="00D0357F" w:rsidP="00D0357F">
            <w:pPr>
              <w:widowControl w:val="0"/>
              <w:autoSpaceDE w:val="0"/>
              <w:autoSpaceDN w:val="0"/>
              <w:adjustRightInd w:val="0"/>
              <w:rPr>
                <w:rFonts w:ascii="Roboto" w:hAnsi="Roboto"/>
                <w:b/>
                <w:color w:val="000000"/>
                <w:sz w:val="20"/>
              </w:rPr>
            </w:pPr>
            <w:r w:rsidRPr="007C430E">
              <w:rPr>
                <w:sz w:val="18"/>
                <w:szCs w:val="18"/>
              </w:rPr>
              <w:t>Vypĺňa prijímateľ</w:t>
            </w:r>
          </w:p>
        </w:tc>
      </w:tr>
      <w:tr w:rsidR="00D0357F" w:rsidRPr="004D6168" w14:paraId="5D374081" w14:textId="77777777" w:rsidTr="00E167BC">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4814" w:type="dxa"/>
            <w:gridSpan w:val="2"/>
          </w:tcPr>
          <w:p w14:paraId="1D7CF106" w14:textId="77777777" w:rsidR="00D0357F" w:rsidRPr="00E167BC" w:rsidRDefault="00D0357F" w:rsidP="00D0357F">
            <w:pPr>
              <w:widowControl w:val="0"/>
              <w:autoSpaceDE w:val="0"/>
              <w:autoSpaceDN w:val="0"/>
              <w:adjustRightInd w:val="0"/>
              <w:rPr>
                <w:rFonts w:ascii="Roboto" w:hAnsi="Roboto"/>
                <w:b/>
                <w:color w:val="000000"/>
                <w:sz w:val="20"/>
              </w:rPr>
            </w:pPr>
            <w:r w:rsidRPr="007C430E">
              <w:rPr>
                <w:sz w:val="18"/>
                <w:szCs w:val="18"/>
              </w:rPr>
              <w:t>Vypĺňa prijímateľ</w:t>
            </w:r>
          </w:p>
        </w:tc>
      </w:tr>
      <w:tr w:rsidR="00D0357F" w:rsidRPr="004D6168" w14:paraId="29D12935" w14:textId="77777777" w:rsidTr="00E167BC">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sidRPr="00E167BC">
              <w:rPr>
                <w:rFonts w:ascii="Roboto" w:hAnsi="Roboto"/>
                <w:b/>
                <w:color w:val="000000"/>
                <w:sz w:val="20"/>
              </w:rPr>
              <w:t>spolu</w:t>
            </w:r>
          </w:p>
        </w:tc>
        <w:tc>
          <w:tcPr>
            <w:tcW w:w="4814" w:type="dxa"/>
            <w:gridSpan w:val="2"/>
          </w:tcPr>
          <w:p w14:paraId="42AAB43C" w14:textId="77777777" w:rsidR="00D0357F" w:rsidRPr="00E167BC" w:rsidRDefault="00D0357F" w:rsidP="00D0357F">
            <w:pPr>
              <w:widowControl w:val="0"/>
              <w:autoSpaceDE w:val="0"/>
              <w:autoSpaceDN w:val="0"/>
              <w:adjustRightInd w:val="0"/>
              <w:rPr>
                <w:rFonts w:ascii="Roboto" w:hAnsi="Roboto"/>
                <w:b/>
                <w:color w:val="000000"/>
                <w:sz w:val="20"/>
              </w:rPr>
            </w:pPr>
            <w:r w:rsidRPr="00302091">
              <w:rPr>
                <w:sz w:val="18"/>
                <w:szCs w:val="18"/>
              </w:rPr>
              <w:t>Automaticky vyplnené – napočíta sa z hodnôt ženy a muži</w:t>
            </w:r>
          </w:p>
        </w:tc>
      </w:tr>
      <w:tr w:rsidR="00D0357F" w14:paraId="3DDEABE7" w14:textId="77777777" w:rsidTr="00E167BC">
        <w:tc>
          <w:tcPr>
            <w:tcW w:w="9062" w:type="dxa"/>
            <w:gridSpan w:val="6"/>
            <w:tcBorders>
              <w:top w:val="nil"/>
            </w:tcBorders>
          </w:tcPr>
          <w:p w14:paraId="58268DB3" w14:textId="77777777" w:rsidR="00D0357F" w:rsidRPr="00E167BC" w:rsidRDefault="00D0357F" w:rsidP="00D0357F">
            <w:pPr>
              <w:widowControl w:val="0"/>
              <w:autoSpaceDE w:val="0"/>
              <w:autoSpaceDN w:val="0"/>
              <w:adjustRightInd w:val="0"/>
              <w:rPr>
                <w:rFonts w:ascii="Roboto" w:hAnsi="Roboto"/>
                <w:b/>
                <w:color w:val="0064A3"/>
                <w:sz w:val="28"/>
              </w:rPr>
            </w:pPr>
            <w:r w:rsidRPr="00E167BC">
              <w:rPr>
                <w:rFonts w:ascii="Roboto" w:hAnsi="Roboto"/>
                <w:b/>
                <w:color w:val="0064A3"/>
                <w:sz w:val="28"/>
              </w:rPr>
              <w:t>9.B  Iné údaje o cieľovej skupine vo vzťahu k IZM</w:t>
            </w:r>
          </w:p>
          <w:p w14:paraId="5A16F5C0" w14:textId="3AFEA5CC" w:rsidR="00D0357F" w:rsidRPr="00E167BC"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E167BC">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E167BC" w:rsidRDefault="00D0357F" w:rsidP="00D0357F">
            <w:pPr>
              <w:widowControl w:val="0"/>
              <w:autoSpaceDE w:val="0"/>
              <w:autoSpaceDN w:val="0"/>
              <w:adjustRightInd w:val="0"/>
              <w:jc w:val="center"/>
              <w:rPr>
                <w:rFonts w:ascii="Roboto" w:hAnsi="Roboto"/>
                <w:sz w:val="20"/>
              </w:rPr>
            </w:pPr>
            <w:r w:rsidRPr="00E167BC">
              <w:rPr>
                <w:rFonts w:ascii="Roboto" w:hAnsi="Roboto"/>
                <w:b/>
                <w:color w:val="000000"/>
                <w:sz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ženy</w:t>
            </w:r>
          </w:p>
        </w:tc>
        <w:tc>
          <w:tcPr>
            <w:tcW w:w="4814" w:type="dxa"/>
            <w:gridSpan w:val="2"/>
          </w:tcPr>
          <w:p w14:paraId="5458FBAB" w14:textId="77777777" w:rsidR="00D0357F" w:rsidRPr="00E167BC" w:rsidRDefault="00D0357F" w:rsidP="00D0357F">
            <w:pPr>
              <w:widowControl w:val="0"/>
              <w:autoSpaceDE w:val="0"/>
              <w:autoSpaceDN w:val="0"/>
              <w:adjustRightInd w:val="0"/>
              <w:rPr>
                <w:rFonts w:ascii="Roboto" w:hAnsi="Roboto"/>
                <w:b/>
                <w:color w:val="000000"/>
                <w:sz w:val="20"/>
              </w:rPr>
            </w:pPr>
            <w:r w:rsidRPr="007C430E">
              <w:rPr>
                <w:sz w:val="18"/>
                <w:szCs w:val="18"/>
              </w:rPr>
              <w:t>Vypĺňa prijímateľ</w:t>
            </w:r>
          </w:p>
        </w:tc>
      </w:tr>
      <w:tr w:rsidR="00D0357F" w:rsidRPr="004D6168" w14:paraId="2984D549" w14:textId="77777777" w:rsidTr="00E167BC">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muži</w:t>
            </w:r>
          </w:p>
        </w:tc>
        <w:tc>
          <w:tcPr>
            <w:tcW w:w="4814" w:type="dxa"/>
            <w:gridSpan w:val="2"/>
          </w:tcPr>
          <w:p w14:paraId="679A6796" w14:textId="77777777" w:rsidR="00D0357F" w:rsidRPr="00E167BC" w:rsidRDefault="00D0357F" w:rsidP="00D0357F">
            <w:pPr>
              <w:widowControl w:val="0"/>
              <w:autoSpaceDE w:val="0"/>
              <w:autoSpaceDN w:val="0"/>
              <w:adjustRightInd w:val="0"/>
              <w:rPr>
                <w:rFonts w:ascii="Roboto" w:hAnsi="Roboto"/>
                <w:b/>
                <w:color w:val="000000"/>
                <w:sz w:val="20"/>
              </w:rPr>
            </w:pPr>
            <w:r w:rsidRPr="007C430E">
              <w:rPr>
                <w:sz w:val="18"/>
                <w:szCs w:val="18"/>
              </w:rPr>
              <w:t>Vypĺňa prijímateľ</w:t>
            </w:r>
          </w:p>
        </w:tc>
      </w:tr>
      <w:tr w:rsidR="00D0357F" w:rsidRPr="004D6168" w14:paraId="47941648" w14:textId="77777777" w:rsidTr="00E167BC">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sidRPr="00E167BC">
              <w:rPr>
                <w:rFonts w:ascii="Roboto" w:hAnsi="Roboto"/>
                <w:b/>
                <w:color w:val="000000"/>
                <w:sz w:val="20"/>
              </w:rPr>
              <w:t>spolu</w:t>
            </w:r>
          </w:p>
        </w:tc>
        <w:tc>
          <w:tcPr>
            <w:tcW w:w="4814" w:type="dxa"/>
            <w:gridSpan w:val="2"/>
          </w:tcPr>
          <w:p w14:paraId="11E63536" w14:textId="77777777" w:rsidR="00D0357F" w:rsidRPr="00E167BC" w:rsidRDefault="00D0357F" w:rsidP="00D0357F">
            <w:pPr>
              <w:widowControl w:val="0"/>
              <w:autoSpaceDE w:val="0"/>
              <w:autoSpaceDN w:val="0"/>
              <w:adjustRightInd w:val="0"/>
              <w:rPr>
                <w:rFonts w:ascii="Roboto" w:hAnsi="Roboto"/>
                <w:b/>
                <w:color w:val="000000"/>
                <w:sz w:val="20"/>
              </w:rPr>
            </w:pPr>
            <w:r w:rsidRPr="00B1050F">
              <w:rPr>
                <w:sz w:val="18"/>
                <w:szCs w:val="18"/>
              </w:rPr>
              <w:t>Automaticky vyplnené – napočíta sa z hodnôt ženy a muži</w:t>
            </w:r>
          </w:p>
        </w:tc>
      </w:tr>
      <w:tr w:rsidR="00D0357F" w14:paraId="695004D8" w14:textId="77777777" w:rsidTr="00E167BC">
        <w:tc>
          <w:tcPr>
            <w:tcW w:w="9062" w:type="dxa"/>
            <w:gridSpan w:val="6"/>
          </w:tcPr>
          <w:p w14:paraId="1727B4CE"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 xml:space="preserve">10. Identifikované problémy, riziká a ďalšie </w:t>
            </w:r>
            <w:r w:rsidRPr="00E167BC">
              <w:rPr>
                <w:rFonts w:ascii="Roboto" w:hAnsi="Roboto"/>
                <w:b/>
                <w:color w:val="0064A3"/>
                <w:sz w:val="42"/>
              </w:rPr>
              <w:lastRenderedPageBreak/>
              <w:t>informácie</w:t>
            </w:r>
          </w:p>
        </w:tc>
      </w:tr>
      <w:tr w:rsidR="00D0357F" w:rsidRPr="004D6168" w14:paraId="3E99CBBF" w14:textId="77777777" w:rsidTr="00E167BC">
        <w:tc>
          <w:tcPr>
            <w:tcW w:w="704" w:type="dxa"/>
          </w:tcPr>
          <w:p w14:paraId="3DD6D3A5" w14:textId="77777777" w:rsidR="00D0357F" w:rsidRPr="004D6168" w:rsidRDefault="00D0357F" w:rsidP="00D0357F">
            <w:pPr>
              <w:rPr>
                <w:sz w:val="20"/>
                <w:szCs w:val="20"/>
              </w:rPr>
            </w:pPr>
            <w:r w:rsidRPr="004D6168">
              <w:rPr>
                <w:sz w:val="20"/>
                <w:szCs w:val="20"/>
              </w:rPr>
              <w:lastRenderedPageBreak/>
              <w:t>102</w:t>
            </w:r>
          </w:p>
        </w:tc>
        <w:tc>
          <w:tcPr>
            <w:tcW w:w="3544" w:type="dxa"/>
            <w:gridSpan w:val="3"/>
          </w:tcPr>
          <w:p w14:paraId="75824079"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Došlo počas monitorovaného obdobia k ukončeniu alebo 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E167BC">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E167BC">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E167BC">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E167BC">
              <w:rPr>
                <w:rFonts w:ascii="Roboto" w:hAnsi="Roboto"/>
                <w:b/>
                <w:color w:val="000000"/>
                <w:sz w:val="20"/>
              </w:rPr>
              <w:t xml:space="preserve">Identifikované problémy, riziká, prijaté opatrenia na ich odstránenie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E167BC">
        <w:tc>
          <w:tcPr>
            <w:tcW w:w="9062" w:type="dxa"/>
            <w:gridSpan w:val="6"/>
          </w:tcPr>
          <w:p w14:paraId="0DEA0270"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11. Publicita projektu</w:t>
            </w:r>
          </w:p>
        </w:tc>
      </w:tr>
      <w:tr w:rsidR="00D0357F" w:rsidRPr="004D6168" w14:paraId="3767590B" w14:textId="77777777" w:rsidTr="00E167BC">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E167BC">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E167BC">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E167BC">
              <w:rPr>
                <w:rFonts w:ascii="Roboto" w:hAnsi="Roboto"/>
                <w:b/>
                <w:color w:val="000000"/>
                <w:sz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E167BC">
        <w:tc>
          <w:tcPr>
            <w:tcW w:w="9062" w:type="dxa"/>
            <w:gridSpan w:val="6"/>
          </w:tcPr>
          <w:p w14:paraId="73A7A6D7" w14:textId="77777777" w:rsidR="00D0357F" w:rsidRPr="00E167BC" w:rsidRDefault="00D0357F" w:rsidP="00D0357F">
            <w:pPr>
              <w:widowControl w:val="0"/>
              <w:autoSpaceDE w:val="0"/>
              <w:autoSpaceDN w:val="0"/>
              <w:adjustRightInd w:val="0"/>
              <w:rPr>
                <w:rFonts w:ascii="Roboto" w:hAnsi="Roboto"/>
                <w:sz w:val="42"/>
              </w:rPr>
            </w:pPr>
            <w:r w:rsidRPr="00E167BC">
              <w:rPr>
                <w:rFonts w:ascii="Roboto" w:hAnsi="Roboto"/>
                <w:b/>
                <w:color w:val="0064A3"/>
                <w:sz w:val="42"/>
              </w:rPr>
              <w:t xml:space="preserve">12. Kontaktné údaje </w:t>
            </w:r>
          </w:p>
        </w:tc>
      </w:tr>
      <w:tr w:rsidR="00D0357F" w:rsidRPr="004D6168" w14:paraId="1652298A" w14:textId="77777777" w:rsidTr="00E167BC">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E167BC">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Identifikátor (typ)</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E167BC">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E167BC">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E167BC">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E167BC">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E167BC">
        <w:tc>
          <w:tcPr>
            <w:tcW w:w="9062" w:type="dxa"/>
            <w:gridSpan w:val="6"/>
          </w:tcPr>
          <w:p w14:paraId="14A6143C"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13. Poznámky</w:t>
            </w:r>
          </w:p>
        </w:tc>
      </w:tr>
      <w:tr w:rsidR="00D0357F" w:rsidRPr="004D6168" w14:paraId="5CCA496A" w14:textId="77777777" w:rsidTr="00E167BC">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E167BC" w:rsidRDefault="00D0357F" w:rsidP="00D0357F">
            <w:pPr>
              <w:widowControl w:val="0"/>
              <w:autoSpaceDE w:val="0"/>
              <w:autoSpaceDN w:val="0"/>
              <w:adjustRightInd w:val="0"/>
              <w:rPr>
                <w:rFonts w:ascii="Roboto" w:hAnsi="Roboto"/>
                <w:b/>
                <w:color w:val="000000"/>
                <w:sz w:val="20"/>
              </w:rPr>
            </w:pPr>
            <w:r w:rsidRPr="00E167BC">
              <w:rPr>
                <w:rFonts w:ascii="Roboto" w:hAnsi="Roboto"/>
                <w:b/>
                <w:color w:val="000000"/>
                <w:sz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E167BC">
        <w:tc>
          <w:tcPr>
            <w:tcW w:w="9062" w:type="dxa"/>
            <w:gridSpan w:val="6"/>
          </w:tcPr>
          <w:p w14:paraId="576F4012"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14. Zoznam príloh k monitorovacej správe</w:t>
            </w:r>
          </w:p>
        </w:tc>
      </w:tr>
      <w:tr w:rsidR="00D0357F" w:rsidRPr="004D6168" w14:paraId="380C5EFE" w14:textId="77777777" w:rsidTr="00E167BC">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w:t>
            </w:r>
            <w:proofErr w:type="spellStart"/>
            <w:r w:rsidRPr="001B7385">
              <w:rPr>
                <w:sz w:val="18"/>
                <w:szCs w:val="18"/>
              </w:rPr>
              <w:t>ŽoNFP</w:t>
            </w:r>
            <w:proofErr w:type="spellEnd"/>
            <w:r w:rsidRPr="001B7385">
              <w:rPr>
                <w:sz w:val="18"/>
                <w:szCs w:val="18"/>
              </w:rPr>
              <w:t>,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E167BC">
        <w:tc>
          <w:tcPr>
            <w:tcW w:w="9062" w:type="dxa"/>
            <w:gridSpan w:val="6"/>
          </w:tcPr>
          <w:p w14:paraId="4DA4F750" w14:textId="77777777" w:rsidR="00D0357F" w:rsidRPr="00E167BC" w:rsidRDefault="00D0357F" w:rsidP="00D0357F">
            <w:pPr>
              <w:widowControl w:val="0"/>
              <w:autoSpaceDE w:val="0"/>
              <w:autoSpaceDN w:val="0"/>
              <w:adjustRightInd w:val="0"/>
              <w:rPr>
                <w:rFonts w:ascii="Roboto" w:hAnsi="Roboto"/>
              </w:rPr>
            </w:pPr>
            <w:r w:rsidRPr="00E167BC">
              <w:rPr>
                <w:rFonts w:ascii="Roboto" w:hAnsi="Roboto"/>
                <w:b/>
                <w:color w:val="0064A3"/>
                <w:sz w:val="42"/>
              </w:rPr>
              <w:t>15. Čestné vyhlásenie</w:t>
            </w:r>
          </w:p>
        </w:tc>
      </w:tr>
      <w:tr w:rsidR="00D0357F" w:rsidRPr="004D6168" w14:paraId="2B7EA9D2" w14:textId="77777777" w:rsidTr="00E167BC">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sidRPr="00E167BC">
              <w:rPr>
                <w:rFonts w:ascii="Roboto" w:hAnsi="Roboto"/>
                <w:b/>
                <w:color w:val="000000"/>
                <w:sz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E167BC">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E167BC">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E167BC">
        <w:tc>
          <w:tcPr>
            <w:tcW w:w="704" w:type="dxa"/>
          </w:tcPr>
          <w:p w14:paraId="7F2E1492" w14:textId="77777777" w:rsidR="00D0357F" w:rsidRPr="004D6168" w:rsidRDefault="00D0357F" w:rsidP="00D0357F">
            <w:pPr>
              <w:rPr>
                <w:sz w:val="20"/>
                <w:szCs w:val="20"/>
              </w:rPr>
            </w:pPr>
            <w:r w:rsidRPr="004D6168">
              <w:rPr>
                <w:sz w:val="20"/>
                <w:szCs w:val="20"/>
              </w:rPr>
              <w:lastRenderedPageBreak/>
              <w:t>1</w:t>
            </w:r>
            <w:r>
              <w:rPr>
                <w:sz w:val="20"/>
                <w:szCs w:val="20"/>
              </w:rPr>
              <w:t>20</w:t>
            </w:r>
          </w:p>
        </w:tc>
        <w:tc>
          <w:tcPr>
            <w:tcW w:w="3544" w:type="dxa"/>
            <w:gridSpan w:val="3"/>
          </w:tcPr>
          <w:p w14:paraId="25D81908"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E167BC">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E167BC">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E167BC" w:rsidRDefault="00D0357F" w:rsidP="00D0357F">
            <w:pPr>
              <w:widowControl w:val="0"/>
              <w:autoSpaceDE w:val="0"/>
              <w:autoSpaceDN w:val="0"/>
              <w:adjustRightInd w:val="0"/>
              <w:rPr>
                <w:rFonts w:ascii="Roboto" w:hAnsi="Roboto"/>
                <w:sz w:val="20"/>
              </w:rPr>
            </w:pPr>
            <w:r w:rsidRPr="00E167BC">
              <w:rPr>
                <w:rFonts w:ascii="Roboto" w:hAnsi="Roboto"/>
                <w:b/>
                <w:color w:val="000000"/>
                <w:sz w:val="20"/>
              </w:rPr>
              <w:t>Podpis štatutárneho orgánu</w:t>
            </w:r>
          </w:p>
        </w:tc>
        <w:tc>
          <w:tcPr>
            <w:tcW w:w="4814" w:type="dxa"/>
            <w:gridSpan w:val="2"/>
          </w:tcPr>
          <w:p w14:paraId="5FF42549" w14:textId="794BF57E"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7215CF7E"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E167BC">
            <w:pPr>
              <w:pStyle w:val="Odsekzoznamu"/>
              <w:numPr>
                <w:ilvl w:val="0"/>
                <w:numId w:val="10"/>
              </w:numPr>
              <w:rPr>
                <w:sz w:val="18"/>
                <w:szCs w:val="18"/>
              </w:rPr>
            </w:pP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E167BC" w:rsidRDefault="00841BF5" w:rsidP="00E167BC">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E167BC" w:rsidSect="00E167BC">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D7B0" w14:textId="77777777" w:rsidR="001F6A24" w:rsidRDefault="001F6A24" w:rsidP="00313510">
      <w:r>
        <w:separator/>
      </w:r>
    </w:p>
  </w:endnote>
  <w:endnote w:type="continuationSeparator" w:id="0">
    <w:p w14:paraId="1A4A8D87" w14:textId="77777777" w:rsidR="001F6A24" w:rsidRDefault="001F6A24" w:rsidP="00313510">
      <w:r>
        <w:continuationSeparator/>
      </w:r>
    </w:p>
  </w:endnote>
  <w:endnote w:type="continuationNotice" w:id="1">
    <w:p w14:paraId="3E8AE2C5" w14:textId="77777777" w:rsidR="001F6A24" w:rsidRDefault="001F6A24"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Roboto">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0782" w14:textId="77777777" w:rsidR="00960B14" w:rsidRDefault="00960B14" w:rsidP="00627EA3">
    <w:pPr>
      <w:pStyle w:val="Pta"/>
      <w:jc w:val="right"/>
    </w:pPr>
    <w:r>
      <w:t xml:space="preserve"> </w:t>
    </w:r>
  </w:p>
  <w:p w14:paraId="2B36C70B" w14:textId="77777777" w:rsidR="00960B14" w:rsidRPr="00627EA3" w:rsidRDefault="00960B14"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549358"/>
      <w:docPartObj>
        <w:docPartGallery w:val="Page Numbers (Bottom of Page)"/>
        <w:docPartUnique/>
      </w:docPartObj>
    </w:sdtPr>
    <w:sdtEndPr/>
    <w:sdtContent>
      <w:p w14:paraId="2D13D0FD" w14:textId="1A158268" w:rsidR="00AE7B33" w:rsidRDefault="00AE7B33">
        <w:pPr>
          <w:pStyle w:val="Pta"/>
          <w:jc w:val="right"/>
        </w:pPr>
        <w:r>
          <w:fldChar w:fldCharType="begin"/>
        </w:r>
        <w:r>
          <w:instrText>PAGE   \* MERGEFORMAT</w:instrText>
        </w:r>
        <w:r>
          <w:fldChar w:fldCharType="separate"/>
        </w:r>
        <w:r w:rsidR="00E167BC">
          <w:rPr>
            <w:noProof/>
          </w:rPr>
          <w:t>1</w:t>
        </w:r>
        <w:r>
          <w:fldChar w:fldCharType="end"/>
        </w:r>
      </w:p>
    </w:sdtContent>
  </w:sdt>
  <w:p w14:paraId="7FDF1ACB" w14:textId="77777777" w:rsidR="00AE7B33" w:rsidRDefault="00AE7B3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942FF" w14:textId="77777777" w:rsidR="001F6A24" w:rsidRDefault="001F6A24" w:rsidP="00313510">
      <w:r>
        <w:separator/>
      </w:r>
    </w:p>
  </w:footnote>
  <w:footnote w:type="continuationSeparator" w:id="0">
    <w:p w14:paraId="741B4F13" w14:textId="77777777" w:rsidR="001F6A24" w:rsidRDefault="001F6A24" w:rsidP="00313510">
      <w:r>
        <w:continuationSeparator/>
      </w:r>
    </w:p>
  </w:footnote>
  <w:footnote w:type="continuationNotice" w:id="1">
    <w:p w14:paraId="0A77000B" w14:textId="77777777" w:rsidR="001F6A24" w:rsidRDefault="001F6A24"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45CB" w14:textId="77777777" w:rsidR="00960B14" w:rsidRPr="00627EA3" w:rsidRDefault="00960B14" w:rsidP="00E167BC">
    <w:pPr>
      <w:pStyle w:val="Hlavika"/>
      <w:jc w:val="right"/>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2BF44" w14:textId="37707EE8" w:rsidR="00AE7B33" w:rsidRDefault="00AE7B33">
    <w:pPr>
      <w:pStyle w:val="Hlavika"/>
    </w:pPr>
    <w:r>
      <w:tab/>
    </w:r>
    <w:r>
      <w:tab/>
    </w:r>
    <w:r>
      <w:t>Príloha 4.4.5</w:t>
    </w:r>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479"/>
    <w:rsid w:val="00016DC0"/>
    <w:rsid w:val="00022629"/>
    <w:rsid w:val="00022D4F"/>
    <w:rsid w:val="000245B4"/>
    <w:rsid w:val="0003749D"/>
    <w:rsid w:val="000423D7"/>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83753"/>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4F3"/>
    <w:rsid w:val="000E2AA4"/>
    <w:rsid w:val="000E7DD3"/>
    <w:rsid w:val="000F2DCD"/>
    <w:rsid w:val="000F46FA"/>
    <w:rsid w:val="000F52CA"/>
    <w:rsid w:val="000F7A08"/>
    <w:rsid w:val="001130BA"/>
    <w:rsid w:val="001147BD"/>
    <w:rsid w:val="00116BEA"/>
    <w:rsid w:val="00116F61"/>
    <w:rsid w:val="001229C2"/>
    <w:rsid w:val="001239FB"/>
    <w:rsid w:val="00125667"/>
    <w:rsid w:val="001266B0"/>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4420"/>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3A8"/>
    <w:rsid w:val="001F4C97"/>
    <w:rsid w:val="001F6A24"/>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0D56"/>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973BD"/>
    <w:rsid w:val="002A1E17"/>
    <w:rsid w:val="002A2E76"/>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2E1D"/>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0AF8"/>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BA1"/>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265FC"/>
    <w:rsid w:val="00535EF4"/>
    <w:rsid w:val="00537E02"/>
    <w:rsid w:val="00541FF5"/>
    <w:rsid w:val="00553D39"/>
    <w:rsid w:val="0055663D"/>
    <w:rsid w:val="00557749"/>
    <w:rsid w:val="005632A6"/>
    <w:rsid w:val="005635B5"/>
    <w:rsid w:val="00566BEB"/>
    <w:rsid w:val="005767B2"/>
    <w:rsid w:val="0057713B"/>
    <w:rsid w:val="005776A7"/>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2AEB"/>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0D8B"/>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30F7"/>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C69EA"/>
    <w:rsid w:val="007D597B"/>
    <w:rsid w:val="007E1400"/>
    <w:rsid w:val="007E244A"/>
    <w:rsid w:val="007E5480"/>
    <w:rsid w:val="007E6C2B"/>
    <w:rsid w:val="007F0D9A"/>
    <w:rsid w:val="007F52DE"/>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2F33"/>
    <w:rsid w:val="008B6B81"/>
    <w:rsid w:val="008B7DE4"/>
    <w:rsid w:val="008C271F"/>
    <w:rsid w:val="008C37A7"/>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86FE5"/>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E7B33"/>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26569"/>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689"/>
    <w:rsid w:val="00D118D8"/>
    <w:rsid w:val="00D1331F"/>
    <w:rsid w:val="00D153C6"/>
    <w:rsid w:val="00D259BF"/>
    <w:rsid w:val="00D347C3"/>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DF65DB"/>
    <w:rsid w:val="00E028E6"/>
    <w:rsid w:val="00E05AB6"/>
    <w:rsid w:val="00E06228"/>
    <w:rsid w:val="00E121C1"/>
    <w:rsid w:val="00E14804"/>
    <w:rsid w:val="00E167BC"/>
    <w:rsid w:val="00E20ADE"/>
    <w:rsid w:val="00E241B6"/>
    <w:rsid w:val="00E24312"/>
    <w:rsid w:val="00E25FBE"/>
    <w:rsid w:val="00E313FD"/>
    <w:rsid w:val="00E316A0"/>
    <w:rsid w:val="00E33722"/>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96C7B"/>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3F44"/>
    <w:rsid w:val="00F04673"/>
    <w:rsid w:val="00F0607A"/>
    <w:rsid w:val="00F0664A"/>
    <w:rsid w:val="00F06737"/>
    <w:rsid w:val="00F068B1"/>
    <w:rsid w:val="00F10B9D"/>
    <w:rsid w:val="00F144D3"/>
    <w:rsid w:val="00F213F4"/>
    <w:rsid w:val="00F24B6A"/>
    <w:rsid w:val="00F27075"/>
    <w:rsid w:val="00F31BD5"/>
    <w:rsid w:val="00F34DBA"/>
    <w:rsid w:val="00F401C1"/>
    <w:rsid w:val="00F426CF"/>
    <w:rsid w:val="00F44FC1"/>
    <w:rsid w:val="00F50992"/>
    <w:rsid w:val="00F5129B"/>
    <w:rsid w:val="00F5282A"/>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C5638"/>
    <w:rsid w:val="00FD0330"/>
    <w:rsid w:val="00FD273F"/>
    <w:rsid w:val="00FD2B88"/>
    <w:rsid w:val="00FD58D6"/>
    <w:rsid w:val="00FD5D35"/>
    <w:rsid w:val="00FE0792"/>
    <w:rsid w:val="00FF0092"/>
    <w:rsid w:val="00FF23F0"/>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313510"/>
    <w:pPr>
      <w:tabs>
        <w:tab w:val="center" w:pos="4536"/>
        <w:tab w:val="right" w:pos="9072"/>
      </w:tabs>
    </w:pPr>
  </w:style>
  <w:style w:type="character" w:customStyle="1" w:styleId="HlavikaChar">
    <w:name w:val="Hlavička Char"/>
    <w:basedOn w:val="Predvolenpsmoodseku"/>
    <w:link w:val="Hlavika"/>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B7562-AA1B-40C5-B889-159D9B4F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2634</Words>
  <Characters>16668</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2021-06-14T07:11:00Z</dcterms:modified>
</cp:coreProperties>
</file>