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75D39" w14:textId="77777777" w:rsidR="00C30FD8" w:rsidRDefault="00B52AAD">
      <w:pPr>
        <w:spacing w:after="20" w:line="259" w:lineRule="auto"/>
        <w:ind w:left="0" w:right="0" w:firstLine="0"/>
        <w:jc w:val="right"/>
      </w:pPr>
      <w:r>
        <w:t xml:space="preserve"> </w:t>
      </w:r>
    </w:p>
    <w:p w14:paraId="09904A9F" w14:textId="0E952236" w:rsidR="00C30FD8" w:rsidRDefault="00B52AAD">
      <w:pPr>
        <w:spacing w:after="0" w:line="259" w:lineRule="auto"/>
        <w:ind w:left="89" w:right="0" w:firstLine="0"/>
        <w:jc w:val="left"/>
      </w:pPr>
      <w:r>
        <w:rPr>
          <w:sz w:val="20"/>
        </w:rPr>
        <w:t xml:space="preserve">Príloha č. 2 k dokumentu </w:t>
      </w:r>
      <w:r>
        <w:rPr>
          <w:i/>
          <w:sz w:val="20"/>
        </w:rPr>
        <w:t>Preukazovanie plnenia hodnôt merateľných ukazovateľov špecifického cieľa 4.</w:t>
      </w:r>
      <w:r w:rsidR="009F5D2F">
        <w:rPr>
          <w:i/>
          <w:sz w:val="20"/>
        </w:rPr>
        <w:t>1</w:t>
      </w:r>
      <w:r>
        <w:rPr>
          <w:i/>
          <w:sz w:val="20"/>
        </w:rPr>
        <w:t xml:space="preserve">.1 OP </w:t>
      </w:r>
    </w:p>
    <w:p w14:paraId="7F8B7359" w14:textId="54EC76C4" w:rsidR="00C30FD8" w:rsidRDefault="00B52AAD">
      <w:pPr>
        <w:spacing w:after="0" w:line="259" w:lineRule="auto"/>
        <w:ind w:left="0" w:right="48" w:firstLine="0"/>
        <w:jc w:val="center"/>
      </w:pPr>
      <w:r>
        <w:rPr>
          <w:i/>
          <w:sz w:val="20"/>
        </w:rPr>
        <w:t xml:space="preserve">KŽP </w:t>
      </w:r>
      <w:r w:rsidR="009F5D2F" w:rsidRPr="009F5D2F">
        <w:rPr>
          <w:i/>
          <w:sz w:val="20"/>
        </w:rPr>
        <w:t>Zvýšenie podielu obnoviteľných zdrojov energie na hrubej konečnej energetickej spotrebe SR</w:t>
      </w:r>
      <w:r>
        <w:rPr>
          <w:sz w:val="20"/>
        </w:rPr>
        <w:t xml:space="preserve"> </w:t>
      </w:r>
    </w:p>
    <w:p w14:paraId="23D52960" w14:textId="77777777" w:rsidR="00C30FD8" w:rsidRDefault="00B52AAD">
      <w:pPr>
        <w:spacing w:after="276" w:line="259" w:lineRule="auto"/>
        <w:ind w:left="0" w:right="0" w:firstLine="0"/>
        <w:jc w:val="left"/>
      </w:pPr>
      <w:r>
        <w:t xml:space="preserve"> </w:t>
      </w:r>
    </w:p>
    <w:p w14:paraId="43A10E15" w14:textId="77777777" w:rsidR="00C30FD8" w:rsidRDefault="00B52AAD">
      <w:pPr>
        <w:pStyle w:val="Nadpis1"/>
      </w:pPr>
      <w:r>
        <w:t xml:space="preserve">Náležitosti stanoviska energetického audítora  </w:t>
      </w:r>
    </w:p>
    <w:p w14:paraId="14A61D0A" w14:textId="77777777" w:rsidR="00C30FD8" w:rsidRDefault="00B52AAD">
      <w:pPr>
        <w:spacing w:after="155" w:line="259" w:lineRule="auto"/>
        <w:ind w:left="0" w:right="0" w:firstLine="0"/>
        <w:jc w:val="left"/>
      </w:pPr>
      <w:r>
        <w:t xml:space="preserve"> </w:t>
      </w:r>
    </w:p>
    <w:p w14:paraId="43B4C134" w14:textId="77777777" w:rsidR="00C30FD8" w:rsidRDefault="00B52AAD">
      <w:pPr>
        <w:pStyle w:val="Nadpis2"/>
        <w:ind w:left="-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Všeobecné ustanovenia </w:t>
      </w:r>
    </w:p>
    <w:p w14:paraId="0864C70E" w14:textId="6E21C83C" w:rsidR="00C30FD8" w:rsidRDefault="00B52AAD">
      <w:pPr>
        <w:spacing w:after="112"/>
        <w:ind w:left="-5" w:right="37"/>
      </w:pPr>
      <w:r>
        <w:t>Cieľom tejto prílohy je určenie obsahových náležitostí a postupov pre vypracovanie stanoviska energetického audítora, ktoré prijímateľ predkladá pre účely stanovenia hodnôt relevantných merateľných ukazovateľov, predovšetkým P0080</w:t>
      </w:r>
      <w:r w:rsidR="009F5D2F">
        <w:t xml:space="preserve"> a </w:t>
      </w:r>
      <w:r>
        <w:t xml:space="preserve">P0084 v zmysle dokumentu, ktorého súčasťou je táto príloha. </w:t>
      </w:r>
    </w:p>
    <w:p w14:paraId="1D350B6D" w14:textId="77777777" w:rsidR="00C30FD8" w:rsidRDefault="00B52AAD">
      <w:pPr>
        <w:spacing w:after="118"/>
        <w:ind w:left="-5" w:right="37"/>
      </w:pPr>
      <w:r>
        <w:t>Stanovisko musí byť vypracované odborne spôsobilou osobou, ktorá spĺňa požiadavky podľa § 12 ods. 1 alebo § 13 ods. 3</w:t>
      </w:r>
      <w:r>
        <w:rPr>
          <w:i/>
        </w:rPr>
        <w:t xml:space="preserve"> zákona č. 321/2014 Z. z. o energetickej efektívnosti a o zmene a doplnení niektorých zákonov v znení neskorších predpisov </w:t>
      </w:r>
      <w:r>
        <w:t>(ďalej len „zákon o energetickej efektívnosti“).</w:t>
      </w:r>
      <w:r>
        <w:rPr>
          <w:vertAlign w:val="superscript"/>
        </w:rPr>
        <w:footnoteReference w:id="1"/>
      </w:r>
      <w:r>
        <w:t xml:space="preserve">  </w:t>
      </w:r>
    </w:p>
    <w:p w14:paraId="170415F0" w14:textId="77777777" w:rsidR="00C30FD8" w:rsidRDefault="00B52AAD">
      <w:pPr>
        <w:spacing w:after="110"/>
        <w:ind w:left="-5" w:right="37"/>
      </w:pPr>
      <w:r>
        <w:t>Energetický audítor pri vypracovaní stanoviska postupuje primerane podľa všeobecne záväzných právnych predpisov a technických predpisov.</w:t>
      </w:r>
      <w:r>
        <w:rPr>
          <w:vertAlign w:val="superscript"/>
        </w:rPr>
        <w:footnoteReference w:id="2"/>
      </w:r>
      <w:r>
        <w:t xml:space="preserve"> Stanovisko energetického audítora musí spĺňať všetky obsahové náležitosti ustanovené v tejto prílohe.  </w:t>
      </w:r>
    </w:p>
    <w:p w14:paraId="12CA5AA7" w14:textId="77777777" w:rsidR="00D47C9C" w:rsidRDefault="00B52AAD">
      <w:pPr>
        <w:ind w:left="-5" w:right="663"/>
      </w:pPr>
      <w:r>
        <w:t xml:space="preserve">Stanovisko zároveň musí obsahovať formálne náležitosti minimálne v nasledovnom rozsahu: </w:t>
      </w:r>
    </w:p>
    <w:p w14:paraId="78047090" w14:textId="77777777" w:rsidR="00C30FD8" w:rsidRDefault="00B52AAD">
      <w:pPr>
        <w:ind w:left="-5" w:right="663"/>
      </w:pPr>
      <w:r>
        <w:t>a)</w:t>
      </w:r>
      <w:r>
        <w:rPr>
          <w:rFonts w:ascii="Arial" w:eastAsia="Arial" w:hAnsi="Arial" w:cs="Arial"/>
        </w:rPr>
        <w:t xml:space="preserve"> </w:t>
      </w:r>
      <w:r>
        <w:t xml:space="preserve">základné identifikačné údaje: </w:t>
      </w:r>
    </w:p>
    <w:p w14:paraId="5D5F317B" w14:textId="77777777" w:rsidR="00C30FD8" w:rsidRDefault="00B52AAD">
      <w:pPr>
        <w:numPr>
          <w:ilvl w:val="0"/>
          <w:numId w:val="1"/>
        </w:numPr>
        <w:spacing w:after="12" w:line="259" w:lineRule="auto"/>
        <w:ind w:right="37" w:hanging="492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27668394" wp14:editId="22D28B5A">
            <wp:simplePos x="0" y="0"/>
            <wp:positionH relativeFrom="page">
              <wp:posOffset>899922</wp:posOffset>
            </wp:positionH>
            <wp:positionV relativeFrom="page">
              <wp:posOffset>360426</wp:posOffset>
            </wp:positionV>
            <wp:extent cx="5759197" cy="392430"/>
            <wp:effectExtent l="0" t="0" r="0" b="0"/>
            <wp:wrapTopAndBottom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197" cy="39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projektu ku ktorému sa stanovisko vzťahuje, minimálne v rozsahu: názov, kód projektu, </w:t>
      </w:r>
    </w:p>
    <w:p w14:paraId="27FA2E8D" w14:textId="77777777" w:rsidR="00C30FD8" w:rsidRDefault="00B52AAD">
      <w:pPr>
        <w:numPr>
          <w:ilvl w:val="0"/>
          <w:numId w:val="1"/>
        </w:numPr>
        <w:ind w:right="37" w:hanging="492"/>
      </w:pPr>
      <w:r>
        <w:t xml:space="preserve">prijímateľa projektu, minimálne v rozsahu: názov, právna forma, adresa, údaje o štatutárnom orgáne, IČO (ak bolo pridelené), kontaktné údaje (telefón, elektronická adresa), </w:t>
      </w:r>
    </w:p>
    <w:p w14:paraId="43D89C28" w14:textId="77777777" w:rsidR="00C30FD8" w:rsidRDefault="00B52AAD">
      <w:pPr>
        <w:numPr>
          <w:ilvl w:val="0"/>
          <w:numId w:val="1"/>
        </w:numPr>
        <w:ind w:right="37" w:hanging="492"/>
      </w:pPr>
      <w:r>
        <w:t xml:space="preserve">energetického audítora, minimálne v rozsahu, meno, priezvisko, dátum vyhotovenia a podpis, </w:t>
      </w:r>
    </w:p>
    <w:p w14:paraId="67EB8890" w14:textId="0503018D" w:rsidR="00C30FD8" w:rsidRDefault="00B52AAD" w:rsidP="00C3173C">
      <w:pPr>
        <w:numPr>
          <w:ilvl w:val="0"/>
          <w:numId w:val="2"/>
        </w:numPr>
        <w:ind w:right="37" w:hanging="360"/>
      </w:pPr>
      <w:r>
        <w:t>popis existujúceho stavu po realizácii projektu</w:t>
      </w:r>
      <w:r w:rsidR="00581C9F">
        <w:t xml:space="preserve"> vrátane zdôvodnenia využiteľnosti inštalovaného zariadenia OZE</w:t>
      </w:r>
      <w:r w:rsidR="00C3173C">
        <w:t xml:space="preserve"> </w:t>
      </w:r>
      <w:r w:rsidR="00C62961">
        <w:t>(</w:t>
      </w:r>
      <w:r w:rsidR="00C3173C">
        <w:t xml:space="preserve">opis </w:t>
      </w:r>
      <w:r w:rsidR="00C3173C" w:rsidRPr="00C3173C">
        <w:t xml:space="preserve">faktorov ovplyvňujúcich </w:t>
      </w:r>
      <w:r w:rsidR="00C3173C">
        <w:t>plnenie MU</w:t>
      </w:r>
      <w:r w:rsidR="00C62961">
        <w:t>)</w:t>
      </w:r>
      <w:r>
        <w:t xml:space="preserve">, </w:t>
      </w:r>
    </w:p>
    <w:p w14:paraId="51E2FAF1" w14:textId="6C54B243" w:rsidR="00C30FD8" w:rsidRDefault="00B52AAD" w:rsidP="00A61DCE">
      <w:pPr>
        <w:numPr>
          <w:ilvl w:val="0"/>
          <w:numId w:val="2"/>
        </w:numPr>
        <w:ind w:right="37" w:hanging="360"/>
      </w:pPr>
      <w:r>
        <w:t>výpočet hodnôt MU</w:t>
      </w:r>
      <w:r w:rsidR="00A61DCE">
        <w:t xml:space="preserve"> (v súlade s dokumentom</w:t>
      </w:r>
      <w:r w:rsidR="00A61DCE" w:rsidRPr="00A61DCE">
        <w:t xml:space="preserve"> </w:t>
      </w:r>
      <w:r w:rsidR="00A61DCE">
        <w:t>Preukazovanie plnenia hodnôt merateľných ukazovateľov špecifického cieľa 4.1.1 OP KŽP)</w:t>
      </w:r>
      <w:r>
        <w:t xml:space="preserve">, </w:t>
      </w:r>
    </w:p>
    <w:p w14:paraId="242F94D0" w14:textId="77777777" w:rsidR="00C30FD8" w:rsidRDefault="00B52AAD">
      <w:pPr>
        <w:numPr>
          <w:ilvl w:val="0"/>
          <w:numId w:val="2"/>
        </w:numPr>
        <w:spacing w:after="108"/>
        <w:ind w:right="37" w:hanging="360"/>
      </w:pPr>
      <w:r>
        <w:t xml:space="preserve">popis podkladov poskytnutých prijímateľom projektu. </w:t>
      </w:r>
    </w:p>
    <w:p w14:paraId="506CB5EB" w14:textId="77777777" w:rsidR="00C30FD8" w:rsidRDefault="00B52AAD">
      <w:pPr>
        <w:spacing w:after="154" w:line="259" w:lineRule="auto"/>
        <w:ind w:left="0" w:right="0" w:firstLine="0"/>
        <w:jc w:val="left"/>
      </w:pPr>
      <w:r>
        <w:t xml:space="preserve"> </w:t>
      </w:r>
    </w:p>
    <w:p w14:paraId="758BE7B6" w14:textId="77777777" w:rsidR="00C30FD8" w:rsidRDefault="00B52AAD">
      <w:pPr>
        <w:pStyle w:val="Nadpis2"/>
        <w:ind w:left="-5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Postup stanovenia MU </w:t>
      </w:r>
    </w:p>
    <w:p w14:paraId="13452E2D" w14:textId="77777777" w:rsidR="00C30FD8" w:rsidRDefault="00B52AAD">
      <w:pPr>
        <w:spacing w:after="112"/>
        <w:ind w:left="-5" w:right="37"/>
      </w:pPr>
      <w:r>
        <w:t xml:space="preserve">Energetický audítor stanovuje hodnoty MU, resp. hodnoty vstupujúce do výpočtu MU v zmysle dokumentu, ktorého súčasťou je táto príloha. </w:t>
      </w:r>
      <w:r>
        <w:rPr>
          <w:b/>
        </w:rPr>
        <w:t>Uvedie spôsob stanovenia hodnoty, vzorec a výpočet, ktorého súčasťou sú aj hodnoty jednotlivých parametrov vzorca</w:t>
      </w:r>
      <w:r>
        <w:t xml:space="preserve">. Ak hodnota parametra vzorca vyžaduje výpočet, uvedie podrobný postup výpočtu ako aj hodnoty a podklady z ktorých vychádzal.    </w:t>
      </w:r>
    </w:p>
    <w:p w14:paraId="60092DF7" w14:textId="660ED7B3" w:rsidR="00C30FD8" w:rsidRDefault="00B52AAD">
      <w:pPr>
        <w:spacing w:after="112"/>
        <w:ind w:left="-5" w:right="37"/>
      </w:pPr>
      <w:r>
        <w:t>Energetický audítor v stanovisku podrobne zdôvodní postup stanovenia relevantnej hodnoty tak</w:t>
      </w:r>
      <w:r w:rsidR="00621DCE">
        <w:t>,</w:t>
      </w:r>
      <w:r>
        <w:t xml:space="preserve"> </w:t>
      </w:r>
      <w:r>
        <w:rPr>
          <w:b/>
        </w:rPr>
        <w:t>aby bolo možné auditné posúdenie postupov výpočtu</w:t>
      </w:r>
      <w:r>
        <w:t xml:space="preserve"> (teda pri každej hodnote parametra ustanovenej </w:t>
      </w:r>
      <w:r>
        <w:lastRenderedPageBreak/>
        <w:t xml:space="preserve">energetickým audítorom musí byť jednoznačne preukázaný spôsob jej stanovenia, postup výpočtu a podklad). </w:t>
      </w:r>
    </w:p>
    <w:p w14:paraId="5B3550B8" w14:textId="1904BE8D" w:rsidR="00C30FD8" w:rsidRDefault="00B52AAD">
      <w:pPr>
        <w:ind w:left="-5" w:right="37"/>
      </w:pPr>
      <w:r>
        <w:t>Ak bude výpočet obsahovať hodnotu parametra</w:t>
      </w:r>
      <w:bookmarkStart w:id="0" w:name="_GoBack"/>
      <w:bookmarkEnd w:id="0"/>
      <w:r>
        <w:t xml:space="preserve"> výpočtu, pre ktorú nie je zrejmý jej pôvod (teda parameter obsahuje iba výsledok s absenciou postupu získania hodnoty na základe ktorej by bol postup overiteľný)</w:t>
      </w:r>
      <w:r w:rsidR="00621DCE">
        <w:t>,</w:t>
      </w:r>
      <w:r>
        <w:t xml:space="preserve"> je poskytovateľ pomoci oprávnený takéto stanovisko neakceptovať. </w:t>
      </w:r>
    </w:p>
    <w:sectPr w:rsidR="00C30FD8">
      <w:footnotePr>
        <w:numRestart w:val="eachPage"/>
      </w:footnotePr>
      <w:pgSz w:w="11906" w:h="16838"/>
      <w:pgMar w:top="1440" w:right="1369" w:bottom="144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89DDF" w14:textId="77777777" w:rsidR="0013109D" w:rsidRDefault="00B52AAD">
      <w:pPr>
        <w:spacing w:after="0" w:line="240" w:lineRule="auto"/>
      </w:pPr>
      <w:r>
        <w:separator/>
      </w:r>
    </w:p>
  </w:endnote>
  <w:endnote w:type="continuationSeparator" w:id="0">
    <w:p w14:paraId="6C39B2F7" w14:textId="77777777" w:rsidR="0013109D" w:rsidRDefault="00B52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5E024" w14:textId="77777777" w:rsidR="00C30FD8" w:rsidRDefault="00B52AAD">
      <w:pPr>
        <w:spacing w:after="7" w:line="241" w:lineRule="auto"/>
        <w:ind w:left="170" w:right="47" w:hanging="170"/>
      </w:pPr>
      <w:r>
        <w:separator/>
      </w:r>
    </w:p>
  </w:footnote>
  <w:footnote w:type="continuationSeparator" w:id="0">
    <w:p w14:paraId="49F46E32" w14:textId="77777777" w:rsidR="00C30FD8" w:rsidRDefault="00B52AAD">
      <w:pPr>
        <w:spacing w:after="7" w:line="241" w:lineRule="auto"/>
        <w:ind w:left="170" w:right="47" w:hanging="170"/>
      </w:pPr>
      <w:r>
        <w:continuationSeparator/>
      </w:r>
    </w:p>
  </w:footnote>
  <w:footnote w:id="1">
    <w:p w14:paraId="74F649B9" w14:textId="77777777" w:rsidR="00C30FD8" w:rsidRDefault="00B52AAD">
      <w:pPr>
        <w:pStyle w:val="footnotedescription"/>
        <w:spacing w:line="241" w:lineRule="auto"/>
      </w:pPr>
      <w:r>
        <w:rPr>
          <w:rStyle w:val="footnotemark"/>
        </w:rPr>
        <w:footnoteRef/>
      </w:r>
      <w:r>
        <w:t xml:space="preserve"> </w:t>
      </w:r>
      <w:r w:rsidR="00D47C9C">
        <w:t xml:space="preserve"> </w:t>
      </w:r>
      <w:r>
        <w:t xml:space="preserve">Ak je stanovisko vypracované v inom ako slovenskom jazyku, prijímateľ okrem tohto stanoviska predkladá aj preklad do slovenského jazyka. Preklad do slovenského jazyka sa nevyžaduje v prípade, že stanovisko je originálne vyhotovené v českom jazyku. Ak stanovisko predkladá osoba podľa § 13 ods. 3 zákona o energetickej efektívnosti, prílohou stanoviska je aj kópia oprávnenia na výkon činností energetického audítora podľa právnych predpisov iného členského štátu Európskej únie alebo štátu, ktorý je zmluvnou stranou Dohody o Európskom hospodárskom priestore. </w:t>
      </w:r>
    </w:p>
  </w:footnote>
  <w:footnote w:id="2">
    <w:p w14:paraId="277731C0" w14:textId="63543571" w:rsidR="00C30FD8" w:rsidRDefault="00B52AAD">
      <w:pPr>
        <w:pStyle w:val="footnotedescription"/>
        <w:spacing w:after="0"/>
        <w:ind w:right="0"/>
      </w:pPr>
      <w:r>
        <w:rPr>
          <w:rStyle w:val="footnotemark"/>
        </w:rPr>
        <w:footnoteRef/>
      </w:r>
      <w:r>
        <w:t xml:space="preserve"> </w:t>
      </w:r>
      <w:r w:rsidR="00D47C9C">
        <w:t xml:space="preserve"> </w:t>
      </w:r>
      <w:r>
        <w:t>Napr. Vyhláška Ministerstva hospodárstva SR č. 179/2015 Z. z. o energetickom audite</w:t>
      </w:r>
      <w:r w:rsidR="00D47C9C"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1112D"/>
    <w:multiLevelType w:val="hybridMultilevel"/>
    <w:tmpl w:val="2A823D7C"/>
    <w:lvl w:ilvl="0" w:tplc="4942DC80">
      <w:start w:val="1"/>
      <w:numFmt w:val="lowerRoman"/>
      <w:lvlText w:val="%1."/>
      <w:lvlJc w:val="left"/>
      <w:pPr>
        <w:ind w:left="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FE7DB4">
      <w:start w:val="1"/>
      <w:numFmt w:val="lowerLetter"/>
      <w:lvlText w:val="%2"/>
      <w:lvlJc w:val="left"/>
      <w:pPr>
        <w:ind w:left="1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F61046">
      <w:start w:val="1"/>
      <w:numFmt w:val="lowerRoman"/>
      <w:lvlText w:val="%3"/>
      <w:lvlJc w:val="left"/>
      <w:pPr>
        <w:ind w:left="2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526E9E">
      <w:start w:val="1"/>
      <w:numFmt w:val="decimal"/>
      <w:lvlText w:val="%4"/>
      <w:lvlJc w:val="left"/>
      <w:pPr>
        <w:ind w:left="2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F6D55A">
      <w:start w:val="1"/>
      <w:numFmt w:val="lowerLetter"/>
      <w:lvlText w:val="%5"/>
      <w:lvlJc w:val="left"/>
      <w:pPr>
        <w:ind w:left="3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88C88">
      <w:start w:val="1"/>
      <w:numFmt w:val="lowerRoman"/>
      <w:lvlText w:val="%6"/>
      <w:lvlJc w:val="left"/>
      <w:pPr>
        <w:ind w:left="4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144B52">
      <w:start w:val="1"/>
      <w:numFmt w:val="decimal"/>
      <w:lvlText w:val="%7"/>
      <w:lvlJc w:val="left"/>
      <w:pPr>
        <w:ind w:left="5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4CB184">
      <w:start w:val="1"/>
      <w:numFmt w:val="lowerLetter"/>
      <w:lvlText w:val="%8"/>
      <w:lvlJc w:val="left"/>
      <w:pPr>
        <w:ind w:left="5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E652A">
      <w:start w:val="1"/>
      <w:numFmt w:val="lowerRoman"/>
      <w:lvlText w:val="%9"/>
      <w:lvlJc w:val="left"/>
      <w:pPr>
        <w:ind w:left="6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A958F9"/>
    <w:multiLevelType w:val="hybridMultilevel"/>
    <w:tmpl w:val="3578A9B4"/>
    <w:lvl w:ilvl="0" w:tplc="FE3E4CF2">
      <w:start w:val="2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36767C">
      <w:start w:val="1"/>
      <w:numFmt w:val="lowerLetter"/>
      <w:lvlText w:val="%2"/>
      <w:lvlJc w:val="left"/>
      <w:pPr>
        <w:ind w:left="1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B6AD72">
      <w:start w:val="1"/>
      <w:numFmt w:val="lowerRoman"/>
      <w:lvlText w:val="%3"/>
      <w:lvlJc w:val="left"/>
      <w:pPr>
        <w:ind w:left="1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A4488E">
      <w:start w:val="1"/>
      <w:numFmt w:val="decimal"/>
      <w:lvlText w:val="%4"/>
      <w:lvlJc w:val="left"/>
      <w:pPr>
        <w:ind w:left="2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F086F2">
      <w:start w:val="1"/>
      <w:numFmt w:val="lowerLetter"/>
      <w:lvlText w:val="%5"/>
      <w:lvlJc w:val="left"/>
      <w:pPr>
        <w:ind w:left="3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CABA56">
      <w:start w:val="1"/>
      <w:numFmt w:val="lowerRoman"/>
      <w:lvlText w:val="%6"/>
      <w:lvlJc w:val="left"/>
      <w:pPr>
        <w:ind w:left="3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0E3218">
      <w:start w:val="1"/>
      <w:numFmt w:val="decimal"/>
      <w:lvlText w:val="%7"/>
      <w:lvlJc w:val="left"/>
      <w:pPr>
        <w:ind w:left="4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EC46FA">
      <w:start w:val="1"/>
      <w:numFmt w:val="lowerLetter"/>
      <w:lvlText w:val="%8"/>
      <w:lvlJc w:val="left"/>
      <w:pPr>
        <w:ind w:left="5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1E11A2">
      <w:start w:val="1"/>
      <w:numFmt w:val="lowerRoman"/>
      <w:lvlText w:val="%9"/>
      <w:lvlJc w:val="left"/>
      <w:pPr>
        <w:ind w:left="6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trackRevision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FD8"/>
    <w:rsid w:val="0013109D"/>
    <w:rsid w:val="00581C9F"/>
    <w:rsid w:val="00621DCE"/>
    <w:rsid w:val="006411E9"/>
    <w:rsid w:val="00682B19"/>
    <w:rsid w:val="009F5D2F"/>
    <w:rsid w:val="00A61DCE"/>
    <w:rsid w:val="00AE35A9"/>
    <w:rsid w:val="00B52AAD"/>
    <w:rsid w:val="00C30FD8"/>
    <w:rsid w:val="00C3173C"/>
    <w:rsid w:val="00C62961"/>
    <w:rsid w:val="00D47C9C"/>
    <w:rsid w:val="00EF5B30"/>
    <w:rsid w:val="00F1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3B9D"/>
  <w15:docId w15:val="{EAFE7896-745B-4DDE-8952-2DEA5EF7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3" w:line="250" w:lineRule="auto"/>
      <w:ind w:left="10" w:right="49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37"/>
      <w:ind w:right="50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78"/>
      <w:ind w:left="10" w:hanging="10"/>
      <w:outlineLvl w:val="1"/>
    </w:pPr>
    <w:rPr>
      <w:rFonts w:ascii="Calibri" w:eastAsia="Calibri" w:hAnsi="Calibri" w:cs="Calibri"/>
      <w:b/>
      <w:color w:val="2E74B5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2E74B5"/>
      <w:sz w:val="24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8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7" w:line="249" w:lineRule="auto"/>
      <w:ind w:left="170" w:right="47" w:hanging="170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5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5D2F"/>
    <w:rPr>
      <w:rFonts w:ascii="Segoe UI" w:eastAsia="Calibri" w:hAnsi="Segoe UI" w:cs="Segoe UI"/>
      <w:color w:val="000000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47C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7C9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47C9C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7C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7C9C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Amilo</dc:creator>
  <cp:keywords/>
  <cp:lastModifiedBy>OdM</cp:lastModifiedBy>
  <cp:revision>3</cp:revision>
  <dcterms:created xsi:type="dcterms:W3CDTF">2023-05-11T13:51:00Z</dcterms:created>
  <dcterms:modified xsi:type="dcterms:W3CDTF">2023-05-11T13:52:00Z</dcterms:modified>
</cp:coreProperties>
</file>